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100" w:beforeAutospacing="1" w:after="100" w:afterAutospacing="1" w:line="240" w:lineRule="auto"/>
        <w:jc w:val="center"/>
        <w:rPr>
          <w:rFonts w:hint="eastAsia" w:ascii="黑体" w:hAnsi="黑体" w:eastAsia="黑体" w:cs="黑体"/>
          <w:bCs/>
          <w:sz w:val="72"/>
          <w:szCs w:val="52"/>
        </w:rPr>
      </w:pPr>
    </w:p>
    <w:p>
      <w:pPr>
        <w:adjustRightInd w:val="0"/>
        <w:spacing w:before="100" w:beforeAutospacing="1" w:after="100" w:afterAutospacing="1" w:line="240" w:lineRule="auto"/>
        <w:jc w:val="center"/>
        <w:rPr>
          <w:rFonts w:hint="eastAsia" w:ascii="黑体" w:hAnsi="黑体" w:eastAsia="黑体" w:cs="黑体"/>
          <w:b/>
          <w:bCs w:val="0"/>
          <w:sz w:val="72"/>
          <w:szCs w:val="52"/>
        </w:rPr>
      </w:pPr>
      <w:r>
        <w:rPr>
          <w:rFonts w:hint="eastAsia" w:ascii="黑体" w:hAnsi="黑体" w:eastAsia="黑体" w:cs="黑体"/>
          <w:b/>
          <w:bCs w:val="0"/>
          <w:sz w:val="72"/>
          <w:szCs w:val="52"/>
        </w:rPr>
        <w:t>周至县公安局交警大队道路交通安全隐患治理项目</w:t>
      </w:r>
    </w:p>
    <w:p>
      <w:pPr>
        <w:adjustRightInd w:val="0"/>
        <w:spacing w:before="100" w:beforeAutospacing="1" w:after="100" w:afterAutospacing="1" w:line="360" w:lineRule="auto"/>
        <w:jc w:val="center"/>
        <w:rPr>
          <w:rFonts w:hint="eastAsia" w:ascii="楷体_GB2312" w:hAnsi="宋体" w:eastAsia="华文行楷"/>
          <w:bCs/>
          <w:sz w:val="72"/>
          <w:szCs w:val="52"/>
        </w:rPr>
      </w:pPr>
    </w:p>
    <w:p>
      <w:pPr>
        <w:adjustRightInd w:val="0"/>
        <w:spacing w:before="100" w:beforeAutospacing="1" w:after="100" w:afterAutospacing="1" w:line="360" w:lineRule="auto"/>
        <w:jc w:val="center"/>
        <w:rPr>
          <w:rFonts w:hint="eastAsia" w:ascii="方正舒体" w:hAnsi="宋体" w:eastAsia="华文行楷"/>
          <w:bCs/>
          <w:sz w:val="72"/>
          <w:szCs w:val="52"/>
        </w:rPr>
      </w:pPr>
    </w:p>
    <w:p>
      <w:pPr>
        <w:adjustRightInd w:val="0"/>
        <w:spacing w:before="100" w:beforeAutospacing="1" w:after="100" w:afterAutospacing="1" w:line="240" w:lineRule="auto"/>
        <w:jc w:val="center"/>
        <w:rPr>
          <w:rFonts w:hint="eastAsia" w:ascii="黑体" w:hAnsi="黑体" w:eastAsia="黑体" w:cs="黑体"/>
          <w:b/>
          <w:bCs w:val="0"/>
          <w:sz w:val="72"/>
          <w:szCs w:val="52"/>
        </w:rPr>
      </w:pPr>
      <w:r>
        <w:rPr>
          <w:rFonts w:hint="eastAsia" w:ascii="黑体" w:hAnsi="黑体" w:eastAsia="黑体" w:cs="黑体"/>
          <w:b/>
          <w:bCs w:val="0"/>
          <w:sz w:val="72"/>
          <w:szCs w:val="52"/>
        </w:rPr>
        <w:t>施工组织方案</w:t>
      </w:r>
    </w:p>
    <w:p>
      <w:pPr>
        <w:spacing w:line="360" w:lineRule="auto"/>
        <w:ind w:left="2040" w:leftChars="600"/>
        <w:rPr>
          <w:rFonts w:hint="eastAsia" w:ascii="宋体" w:hAnsi="宋体" w:cs="Arial"/>
        </w:rPr>
      </w:pPr>
    </w:p>
    <w:p>
      <w:pPr>
        <w:spacing w:line="360" w:lineRule="auto"/>
        <w:ind w:left="2040" w:leftChars="600"/>
        <w:rPr>
          <w:rFonts w:hint="eastAsia" w:ascii="宋体" w:hAnsi="宋体" w:cs="Arial"/>
        </w:rPr>
      </w:pPr>
    </w:p>
    <w:p>
      <w:pPr>
        <w:spacing w:line="360" w:lineRule="auto"/>
        <w:ind w:left="2040" w:leftChars="600"/>
        <w:rPr>
          <w:rFonts w:hint="eastAsia" w:ascii="宋体" w:hAnsi="宋体" w:cs="Arial"/>
        </w:rPr>
      </w:pPr>
    </w:p>
    <w:p>
      <w:pPr>
        <w:spacing w:line="360" w:lineRule="auto"/>
        <w:ind w:left="2040" w:leftChars="600"/>
        <w:rPr>
          <w:rFonts w:hint="eastAsia" w:ascii="宋体" w:hAnsi="宋体" w:cs="Arial"/>
        </w:rPr>
      </w:pPr>
    </w:p>
    <w:p>
      <w:pPr>
        <w:spacing w:line="360" w:lineRule="auto"/>
        <w:ind w:left="2040" w:leftChars="600"/>
        <w:rPr>
          <w:rFonts w:hint="eastAsia" w:ascii="宋体" w:hAnsi="宋体" w:cs="Arial"/>
        </w:rPr>
      </w:pPr>
    </w:p>
    <w:p>
      <w:pPr>
        <w:spacing w:line="360" w:lineRule="auto"/>
        <w:ind w:left="2040" w:leftChars="600"/>
        <w:rPr>
          <w:rFonts w:hint="eastAsia" w:ascii="宋体" w:hAnsi="宋体" w:cs="Arial"/>
        </w:rPr>
      </w:pPr>
    </w:p>
    <w:p>
      <w:pPr>
        <w:spacing w:line="360" w:lineRule="auto"/>
        <w:ind w:left="850" w:leftChars="250"/>
        <w:rPr>
          <w:rFonts w:hint="eastAsia" w:ascii="宋体" w:hAnsi="宋体" w:cs="Arial"/>
          <w:sz w:val="32"/>
        </w:rPr>
      </w:pPr>
      <w:r>
        <w:rPr>
          <w:rFonts w:hint="eastAsia" w:ascii="宋体" w:hAnsi="宋体" w:cs="Arial"/>
          <w:sz w:val="32"/>
        </w:rPr>
        <w:t>建设单位：周至县公安局</w:t>
      </w:r>
    </w:p>
    <w:p>
      <w:pPr>
        <w:spacing w:line="360" w:lineRule="auto"/>
        <w:ind w:left="850" w:leftChars="250"/>
        <w:rPr>
          <w:rFonts w:hint="default" w:ascii="宋体" w:hAnsi="宋体" w:eastAsia="宋体" w:cs="Arial"/>
          <w:sz w:val="32"/>
          <w:lang w:val="en-US" w:eastAsia="zh-CN"/>
        </w:rPr>
      </w:pPr>
      <w:r>
        <w:rPr>
          <w:rFonts w:hint="eastAsia" w:ascii="宋体" w:hAnsi="宋体" w:cs="Arial"/>
          <w:sz w:val="32"/>
        </w:rPr>
        <w:t>投标单位：</w:t>
      </w:r>
      <w:r>
        <w:rPr>
          <w:rFonts w:hint="eastAsia" w:hAnsi="宋体" w:cs="Arial"/>
          <w:sz w:val="32"/>
          <w:lang w:val="en-US" w:eastAsia="zh-CN"/>
        </w:rPr>
        <w:t>陕西安鸣实业有限公司</w:t>
      </w:r>
    </w:p>
    <w:p>
      <w:pPr>
        <w:spacing w:line="360" w:lineRule="auto"/>
        <w:ind w:left="850" w:leftChars="250"/>
        <w:rPr>
          <w:rFonts w:hint="default" w:ascii="宋体" w:hAnsi="宋体" w:eastAsia="宋体" w:cs="Arial"/>
          <w:sz w:val="32"/>
          <w:lang w:val="en-US" w:eastAsia="zh-CN"/>
        </w:rPr>
      </w:pPr>
      <w:r>
        <w:rPr>
          <w:rFonts w:hint="eastAsia" w:ascii="宋体" w:hAnsi="宋体" w:cs="Arial"/>
          <w:sz w:val="32"/>
        </w:rPr>
        <w:t>投标时间：</w:t>
      </w:r>
      <w:r>
        <w:rPr>
          <w:rFonts w:hint="eastAsia" w:hAnsi="宋体" w:cs="Arial"/>
          <w:sz w:val="32"/>
          <w:lang w:val="en-US" w:eastAsia="zh-CN"/>
        </w:rPr>
        <w:t>2022年4月1日</w:t>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"1-5" \f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_Toc8558 </w:instrText>
      </w:r>
      <w:r>
        <w:rPr>
          <w:rFonts w:hint="eastAsia" w:ascii="宋体" w:hAnsi="宋体" w:eastAsia="宋体" w:cs="宋体"/>
          <w:sz w:val="24"/>
          <w:szCs w:val="24"/>
        </w:rPr>
        <w:fldChar w:fldCharType="separate"/>
      </w:r>
      <w:r>
        <w:rPr>
          <w:rFonts w:hint="eastAsia" w:ascii="宋体" w:hAnsi="宋体" w:eastAsia="宋体" w:cs="宋体"/>
          <w:sz w:val="24"/>
          <w:szCs w:val="24"/>
        </w:rPr>
        <w:t>第一章 编制说明与工程概况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_Toc8558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_Toc27231 </w:instrText>
      </w:r>
      <w:r>
        <w:rPr>
          <w:rFonts w:hint="eastAsia" w:ascii="宋体" w:hAnsi="宋体" w:eastAsia="宋体" w:cs="宋体"/>
          <w:sz w:val="24"/>
          <w:szCs w:val="24"/>
        </w:rPr>
        <w:fldChar w:fldCharType="separate"/>
      </w:r>
      <w:r>
        <w:rPr>
          <w:rFonts w:hint="eastAsia" w:ascii="宋体" w:hAnsi="宋体" w:eastAsia="宋体" w:cs="宋体"/>
          <w:sz w:val="24"/>
          <w:szCs w:val="24"/>
        </w:rPr>
        <w:t>第一节 编制说明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_Toc27231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_Toc13081 </w:instrText>
      </w:r>
      <w:r>
        <w:rPr>
          <w:rFonts w:hint="eastAsia" w:ascii="宋体" w:hAnsi="宋体" w:eastAsia="宋体" w:cs="宋体"/>
          <w:sz w:val="24"/>
          <w:szCs w:val="24"/>
        </w:rPr>
        <w:fldChar w:fldCharType="separate"/>
      </w:r>
      <w:r>
        <w:rPr>
          <w:rFonts w:hint="eastAsia" w:ascii="宋体" w:hAnsi="宋体" w:eastAsia="宋体" w:cs="宋体"/>
          <w:sz w:val="24"/>
          <w:szCs w:val="24"/>
        </w:rPr>
        <w:t>1.1 编制</w:t>
      </w:r>
      <w:r>
        <w:rPr>
          <w:rFonts w:hint="eastAsia" w:ascii="宋体" w:hAnsi="宋体" w:eastAsia="宋体" w:cs="宋体"/>
          <w:sz w:val="24"/>
          <w:szCs w:val="24"/>
          <w:lang w:val="en-US" w:eastAsia="zh-CN"/>
        </w:rPr>
        <w:t>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_Toc13081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_Toc7094 </w:instrText>
      </w:r>
      <w:r>
        <w:rPr>
          <w:rFonts w:hint="eastAsia" w:ascii="宋体" w:hAnsi="宋体" w:eastAsia="宋体" w:cs="宋体"/>
          <w:sz w:val="24"/>
          <w:szCs w:val="24"/>
        </w:rPr>
        <w:fldChar w:fldCharType="separate"/>
      </w:r>
      <w:r>
        <w:rPr>
          <w:rFonts w:hint="eastAsia" w:ascii="宋体" w:hAnsi="宋体" w:eastAsia="宋体" w:cs="宋体"/>
          <w:sz w:val="24"/>
          <w:szCs w:val="24"/>
        </w:rPr>
        <w:t>1.2 编制依据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_Toc7094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_Toc20786 </w:instrText>
      </w:r>
      <w:r>
        <w:rPr>
          <w:rFonts w:hint="eastAsia" w:ascii="宋体" w:hAnsi="宋体" w:eastAsia="宋体" w:cs="宋体"/>
          <w:sz w:val="24"/>
          <w:szCs w:val="24"/>
        </w:rPr>
        <w:fldChar w:fldCharType="separate"/>
      </w:r>
      <w:r>
        <w:rPr>
          <w:rFonts w:hint="eastAsia" w:ascii="宋体" w:hAnsi="宋体" w:eastAsia="宋体" w:cs="宋体"/>
          <w:sz w:val="24"/>
          <w:szCs w:val="24"/>
        </w:rPr>
        <w:t>1.3 适用范围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_Toc20786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_Toc31672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1.3.1</w:t>
      </w:r>
      <w:r>
        <w:rPr>
          <w:rFonts w:hint="eastAsia" w:ascii="宋体" w:hAnsi="宋体" w:eastAsia="宋体" w:cs="宋体"/>
          <w:bCs/>
          <w:sz w:val="24"/>
          <w:szCs w:val="24"/>
        </w:rPr>
        <w:t>施工图纸内</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_Toc31672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_Toc4196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1.3.2</w:t>
      </w:r>
      <w:r>
        <w:rPr>
          <w:rFonts w:hint="eastAsia" w:ascii="宋体" w:hAnsi="宋体" w:eastAsia="宋体" w:cs="宋体"/>
          <w:bCs/>
          <w:sz w:val="24"/>
          <w:szCs w:val="24"/>
        </w:rPr>
        <w:t>施工图纸</w:t>
      </w:r>
      <w:r>
        <w:rPr>
          <w:rFonts w:hint="eastAsia" w:ascii="宋体" w:hAnsi="宋体" w:eastAsia="宋体" w:cs="宋体"/>
          <w:bCs/>
          <w:sz w:val="24"/>
          <w:szCs w:val="24"/>
          <w:lang w:val="en-US" w:eastAsia="zh-CN"/>
        </w:rPr>
        <w:t>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_Toc4196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_Toc30232 </w:instrText>
      </w:r>
      <w:r>
        <w:rPr>
          <w:rFonts w:hint="eastAsia" w:ascii="宋体" w:hAnsi="宋体" w:eastAsia="宋体" w:cs="宋体"/>
          <w:sz w:val="24"/>
          <w:szCs w:val="24"/>
        </w:rPr>
        <w:fldChar w:fldCharType="separate"/>
      </w:r>
      <w:r>
        <w:rPr>
          <w:rFonts w:hint="eastAsia" w:ascii="宋体" w:hAnsi="宋体" w:eastAsia="宋体" w:cs="宋体"/>
          <w:sz w:val="24"/>
          <w:szCs w:val="24"/>
        </w:rPr>
        <w:t>第二节 工程概况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_Toc30232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_Toc30851 </w:instrText>
      </w:r>
      <w:r>
        <w:rPr>
          <w:rFonts w:hint="eastAsia" w:ascii="宋体" w:hAnsi="宋体" w:eastAsia="宋体" w:cs="宋体"/>
          <w:sz w:val="24"/>
          <w:szCs w:val="24"/>
        </w:rPr>
        <w:fldChar w:fldCharType="separate"/>
      </w:r>
      <w:r>
        <w:rPr>
          <w:rFonts w:hint="eastAsia" w:ascii="宋体" w:hAnsi="宋体" w:eastAsia="宋体" w:cs="宋体"/>
          <w:sz w:val="24"/>
          <w:szCs w:val="24"/>
        </w:rPr>
        <w:t>2.1 工程概况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_Toc30851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_Toc15002 </w:instrText>
      </w:r>
      <w:r>
        <w:rPr>
          <w:rFonts w:hint="eastAsia" w:ascii="宋体" w:hAnsi="宋体" w:eastAsia="宋体" w:cs="宋体"/>
          <w:sz w:val="24"/>
          <w:szCs w:val="24"/>
        </w:rPr>
        <w:fldChar w:fldCharType="separate"/>
      </w:r>
      <w:r>
        <w:rPr>
          <w:rFonts w:hint="eastAsia" w:ascii="宋体" w:hAnsi="宋体" w:eastAsia="宋体" w:cs="宋体"/>
          <w:sz w:val="24"/>
          <w:szCs w:val="24"/>
        </w:rPr>
        <w:t>2.2 工程内容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_Toc15002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_Toc11392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2.2.1</w:t>
      </w:r>
      <w:r>
        <w:rPr>
          <w:rFonts w:hint="eastAsia" w:ascii="宋体" w:hAnsi="宋体" w:eastAsia="宋体" w:cs="宋体"/>
          <w:bCs/>
          <w:sz w:val="24"/>
          <w:szCs w:val="24"/>
        </w:rPr>
        <w:t>施工图纸内</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_Toc11392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_Toc12734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2.2.2 路交通隐患路口一览表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_Toc12734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_Toc18145 </w:instrText>
      </w:r>
      <w:r>
        <w:rPr>
          <w:rFonts w:hint="eastAsia" w:ascii="宋体" w:hAnsi="宋体" w:eastAsia="宋体" w:cs="宋体"/>
          <w:sz w:val="24"/>
          <w:szCs w:val="24"/>
        </w:rPr>
        <w:fldChar w:fldCharType="separate"/>
      </w:r>
      <w:r>
        <w:rPr>
          <w:rFonts w:hint="eastAsia" w:ascii="宋体" w:hAnsi="宋体" w:eastAsia="宋体" w:cs="宋体"/>
          <w:sz w:val="24"/>
          <w:szCs w:val="24"/>
        </w:rPr>
        <w:t>2.3 本工程的特点与施工难点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_Toc18145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_Toc14294 </w:instrText>
      </w:r>
      <w:r>
        <w:rPr>
          <w:rFonts w:hint="eastAsia" w:ascii="宋体" w:hAnsi="宋体" w:eastAsia="宋体" w:cs="宋体"/>
          <w:sz w:val="24"/>
          <w:szCs w:val="24"/>
        </w:rPr>
        <w:fldChar w:fldCharType="separate"/>
      </w:r>
      <w:r>
        <w:rPr>
          <w:rFonts w:hint="eastAsia" w:ascii="宋体" w:hAnsi="宋体" w:eastAsia="宋体" w:cs="宋体"/>
          <w:sz w:val="24"/>
          <w:szCs w:val="24"/>
        </w:rPr>
        <w:t>2.3.1 周至县公安局交警大队道路交通安全隐患治理工程特点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_Toc14294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_Toc14091 </w:instrText>
      </w:r>
      <w:r>
        <w:rPr>
          <w:rFonts w:hint="eastAsia" w:ascii="宋体" w:hAnsi="宋体" w:eastAsia="宋体" w:cs="宋体"/>
          <w:sz w:val="24"/>
          <w:szCs w:val="24"/>
        </w:rPr>
        <w:fldChar w:fldCharType="separate"/>
      </w:r>
      <w:r>
        <w:rPr>
          <w:rFonts w:hint="eastAsia" w:ascii="宋体" w:hAnsi="宋体" w:eastAsia="宋体" w:cs="宋体"/>
          <w:sz w:val="24"/>
          <w:szCs w:val="24"/>
        </w:rPr>
        <w:t>2.3.2 周至县公安局交警大队道路交通安全隐患治理工程难点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_Toc14091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_Toc22945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2.3.3 </w:t>
      </w:r>
      <w:r>
        <w:rPr>
          <w:rFonts w:hint="eastAsia" w:ascii="宋体" w:hAnsi="宋体" w:eastAsia="宋体" w:cs="宋体"/>
          <w:bCs w:val="0"/>
          <w:sz w:val="24"/>
          <w:szCs w:val="24"/>
        </w:rPr>
        <w:t>工程项目管理体制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_Toc22945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_Toc3562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2.3.4 </w:t>
      </w:r>
      <w:r>
        <w:rPr>
          <w:rFonts w:hint="eastAsia" w:ascii="宋体" w:hAnsi="宋体" w:eastAsia="宋体" w:cs="宋体"/>
          <w:bCs w:val="0"/>
          <w:sz w:val="24"/>
          <w:szCs w:val="24"/>
        </w:rPr>
        <w:t>工程项目施工过程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_Toc3562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_Toc26338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第二章 施工部署</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_Toc26338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_Toc23729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第一节 </w:t>
      </w:r>
      <w:r>
        <w:rPr>
          <w:rFonts w:hint="eastAsia" w:ascii="宋体" w:hAnsi="宋体" w:eastAsia="宋体" w:cs="宋体"/>
          <w:bCs w:val="0"/>
          <w:sz w:val="24"/>
          <w:szCs w:val="24"/>
        </w:rPr>
        <w:t>施工组织机构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_Toc23729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_Toc4749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ascii="宋体" w:hAnsi="宋体" w:eastAsia="宋体" w:cs="宋体"/>
          <w:bCs w:val="0"/>
          <w:sz w:val="24"/>
          <w:szCs w:val="24"/>
        </w:rPr>
        <w:t>施工管理组织机构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_Toc4749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_Toc7885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ascii="宋体" w:hAnsi="宋体" w:eastAsia="宋体" w:cs="宋体"/>
          <w:bCs w:val="0"/>
          <w:sz w:val="24"/>
          <w:szCs w:val="24"/>
        </w:rPr>
        <w:t>施工管理组织机构主要人员一览表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_Toc7885 \h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_Toc12354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1.3 </w:t>
      </w:r>
      <w:r>
        <w:rPr>
          <w:rFonts w:hint="eastAsia" w:ascii="宋体" w:hAnsi="宋体" w:eastAsia="宋体" w:cs="宋体"/>
          <w:bCs w:val="0"/>
          <w:sz w:val="24"/>
          <w:szCs w:val="24"/>
        </w:rPr>
        <w:t>主要管理岗位主要职责描述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_Toc12354 \h </w:instrText>
      </w:r>
      <w:r>
        <w:rPr>
          <w:rFonts w:hint="eastAsia" w:ascii="宋体" w:hAnsi="宋体" w:eastAsia="宋体" w:cs="宋体"/>
          <w:sz w:val="24"/>
          <w:szCs w:val="24"/>
        </w:rPr>
        <w:fldChar w:fldCharType="separate"/>
      </w:r>
      <w:r>
        <w:rPr>
          <w:rFonts w:hint="eastAsia" w:ascii="宋体" w:hAnsi="宋体" w:eastAsia="宋体" w:cs="宋体"/>
          <w:sz w:val="24"/>
          <w:szCs w:val="24"/>
        </w:rPr>
        <w:t>32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_Toc12256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1.4 劳动力安排计划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_Toc12256 \h </w:instrText>
      </w:r>
      <w:r>
        <w:rPr>
          <w:rFonts w:hint="eastAsia" w:ascii="宋体" w:hAnsi="宋体" w:eastAsia="宋体" w:cs="宋体"/>
          <w:sz w:val="24"/>
          <w:szCs w:val="24"/>
        </w:rPr>
        <w:fldChar w:fldCharType="separate"/>
      </w:r>
      <w:r>
        <w:rPr>
          <w:rFonts w:hint="eastAsia" w:ascii="宋体" w:hAnsi="宋体" w:eastAsia="宋体" w:cs="宋体"/>
          <w:sz w:val="24"/>
          <w:szCs w:val="24"/>
        </w:rPr>
        <w:t>35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_Toc7170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 xml:space="preserve">1.4.1 </w:t>
      </w:r>
      <w:r>
        <w:rPr>
          <w:rFonts w:hint="eastAsia" w:ascii="宋体" w:hAnsi="宋体" w:eastAsia="宋体" w:cs="宋体"/>
          <w:bCs w:val="0"/>
          <w:sz w:val="24"/>
          <w:szCs w:val="24"/>
        </w:rPr>
        <w:t>劳动力安排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_Toc7170 \h </w:instrText>
      </w:r>
      <w:r>
        <w:rPr>
          <w:rFonts w:hint="eastAsia" w:ascii="宋体" w:hAnsi="宋体" w:eastAsia="宋体" w:cs="宋体"/>
          <w:sz w:val="24"/>
          <w:szCs w:val="24"/>
        </w:rPr>
        <w:fldChar w:fldCharType="separate"/>
      </w:r>
      <w:r>
        <w:rPr>
          <w:rFonts w:hint="eastAsia" w:ascii="宋体" w:hAnsi="宋体" w:eastAsia="宋体" w:cs="宋体"/>
          <w:sz w:val="24"/>
          <w:szCs w:val="24"/>
        </w:rPr>
        <w:t>35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_Toc1690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 xml:space="preserve">1.4.2 </w:t>
      </w:r>
      <w:r>
        <w:rPr>
          <w:rFonts w:hint="eastAsia" w:ascii="宋体" w:hAnsi="宋体" w:eastAsia="宋体" w:cs="宋体"/>
          <w:bCs w:val="0"/>
          <w:sz w:val="24"/>
          <w:szCs w:val="24"/>
        </w:rPr>
        <w:t>劳动力配备原则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_Toc1690 \h </w:instrText>
      </w:r>
      <w:r>
        <w:rPr>
          <w:rFonts w:hint="eastAsia" w:ascii="宋体" w:hAnsi="宋体" w:eastAsia="宋体" w:cs="宋体"/>
          <w:sz w:val="24"/>
          <w:szCs w:val="24"/>
        </w:rPr>
        <w:fldChar w:fldCharType="separate"/>
      </w:r>
      <w:r>
        <w:rPr>
          <w:rFonts w:hint="eastAsia" w:ascii="宋体" w:hAnsi="宋体" w:eastAsia="宋体" w:cs="宋体"/>
          <w:sz w:val="24"/>
          <w:szCs w:val="24"/>
        </w:rPr>
        <w:t>35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_Toc10760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 xml:space="preserve">1.4.3 </w:t>
      </w:r>
      <w:r>
        <w:rPr>
          <w:rFonts w:hint="eastAsia" w:ascii="宋体" w:hAnsi="宋体" w:eastAsia="宋体" w:cs="宋体"/>
          <w:bCs w:val="0"/>
          <w:sz w:val="24"/>
          <w:szCs w:val="24"/>
        </w:rPr>
        <w:t>要劳动力组织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_Toc10760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_Toc1423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第二节 </w:t>
      </w:r>
      <w:r>
        <w:rPr>
          <w:rFonts w:hint="eastAsia" w:ascii="宋体" w:hAnsi="宋体" w:eastAsia="宋体" w:cs="宋体"/>
          <w:bCs w:val="0"/>
          <w:sz w:val="24"/>
          <w:szCs w:val="24"/>
        </w:rPr>
        <w:t>施工准备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_Toc1423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_Toc4921 </w:instrText>
      </w:r>
      <w:r>
        <w:rPr>
          <w:rFonts w:hint="eastAsia" w:ascii="宋体" w:hAnsi="宋体" w:eastAsia="宋体" w:cs="宋体"/>
          <w:sz w:val="24"/>
          <w:szCs w:val="24"/>
        </w:rPr>
        <w:fldChar w:fldCharType="separate"/>
      </w:r>
      <w:r>
        <w:rPr>
          <w:rFonts w:hint="eastAsia" w:ascii="宋体" w:hAnsi="宋体" w:eastAsia="宋体" w:cs="宋体"/>
          <w:sz w:val="24"/>
          <w:szCs w:val="24"/>
        </w:rPr>
        <w:t>2.1 有关规范和标准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_Toc4921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_Toc29808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2.2 </w:t>
      </w:r>
      <w:r>
        <w:rPr>
          <w:rFonts w:hint="eastAsia" w:ascii="宋体" w:hAnsi="宋体" w:eastAsia="宋体" w:cs="宋体"/>
          <w:bCs w:val="0"/>
          <w:sz w:val="24"/>
          <w:szCs w:val="24"/>
        </w:rPr>
        <w:t>深化优化设计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_Toc29808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_Toc12631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 </w:t>
      </w:r>
      <w:r>
        <w:rPr>
          <w:rFonts w:hint="eastAsia" w:ascii="宋体" w:hAnsi="宋体" w:eastAsia="宋体" w:cs="宋体"/>
          <w:bCs w:val="0"/>
          <w:sz w:val="24"/>
          <w:szCs w:val="24"/>
        </w:rPr>
        <w:t>图纸会审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_Toc12631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_Toc7017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2.4 </w:t>
      </w:r>
      <w:r>
        <w:rPr>
          <w:rFonts w:hint="eastAsia" w:ascii="宋体" w:hAnsi="宋体" w:eastAsia="宋体" w:cs="宋体"/>
          <w:bCs w:val="0"/>
          <w:sz w:val="24"/>
          <w:szCs w:val="24"/>
        </w:rPr>
        <w:t>技术交底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_Toc7017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_Toc29584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2.5 </w:t>
      </w:r>
      <w:r>
        <w:rPr>
          <w:rFonts w:hint="eastAsia" w:ascii="宋体" w:hAnsi="宋体" w:eastAsia="宋体" w:cs="宋体"/>
          <w:bCs w:val="0"/>
          <w:sz w:val="24"/>
          <w:szCs w:val="24"/>
        </w:rPr>
        <w:t>编制施工预算</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_Toc29584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_Toc32246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2.6 </w:t>
      </w:r>
      <w:r>
        <w:rPr>
          <w:rFonts w:hint="eastAsia" w:ascii="宋体" w:hAnsi="宋体" w:eastAsia="宋体" w:cs="宋体"/>
          <w:bCs w:val="0"/>
          <w:sz w:val="24"/>
          <w:szCs w:val="24"/>
        </w:rPr>
        <w:t>施工现场准备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_Toc32246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_Toc25701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第三节 </w:t>
      </w:r>
      <w:r>
        <w:rPr>
          <w:rFonts w:hint="eastAsia" w:ascii="宋体" w:hAnsi="宋体" w:eastAsia="宋体" w:cs="宋体"/>
          <w:bCs w:val="0"/>
          <w:sz w:val="24"/>
          <w:szCs w:val="24"/>
        </w:rPr>
        <w:t>施工进度控制计划和资源计划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_Toc25701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_Toc9632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 </w:t>
      </w:r>
      <w:r>
        <w:rPr>
          <w:rFonts w:hint="eastAsia" w:ascii="宋体" w:hAnsi="宋体" w:eastAsia="宋体" w:cs="宋体"/>
          <w:bCs w:val="0"/>
          <w:sz w:val="24"/>
          <w:szCs w:val="24"/>
        </w:rPr>
        <w:t>施工进度计划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_Toc9632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_Toc13320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3.2 施工进度控制计划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_Toc13320 \h </w:instrText>
      </w:r>
      <w:r>
        <w:rPr>
          <w:rFonts w:hint="eastAsia" w:ascii="宋体" w:hAnsi="宋体" w:eastAsia="宋体" w:cs="宋体"/>
          <w:sz w:val="24"/>
          <w:szCs w:val="24"/>
        </w:rPr>
        <w:fldChar w:fldCharType="separate"/>
      </w:r>
      <w:r>
        <w:rPr>
          <w:rFonts w:hint="eastAsia" w:ascii="宋体" w:hAnsi="宋体" w:eastAsia="宋体" w:cs="宋体"/>
          <w:sz w:val="24"/>
          <w:szCs w:val="24"/>
        </w:rPr>
        <w:t>41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_Toc17272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3.3 施工进度控制计划</w:t>
      </w:r>
      <w:r>
        <w:rPr>
          <w:rFonts w:hint="eastAsia" w:ascii="宋体" w:hAnsi="宋体" w:eastAsia="宋体" w:cs="宋体"/>
          <w:bCs w:val="0"/>
          <w:sz w:val="24"/>
          <w:szCs w:val="24"/>
          <w:lang w:val="en-US" w:eastAsia="zh-CN"/>
        </w:rPr>
        <w:t>横道图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_Toc17272 \h </w:instrText>
      </w:r>
      <w:r>
        <w:rPr>
          <w:rFonts w:hint="eastAsia" w:ascii="宋体" w:hAnsi="宋体" w:eastAsia="宋体" w:cs="宋体"/>
          <w:sz w:val="24"/>
          <w:szCs w:val="24"/>
        </w:rPr>
        <w:fldChar w:fldCharType="separate"/>
      </w:r>
      <w:r>
        <w:rPr>
          <w:rFonts w:hint="eastAsia" w:ascii="宋体" w:hAnsi="宋体" w:eastAsia="宋体" w:cs="宋体"/>
          <w:sz w:val="24"/>
          <w:szCs w:val="24"/>
        </w:rPr>
        <w:t>41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_Toc4700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3.4 </w:t>
      </w:r>
      <w:r>
        <w:rPr>
          <w:rFonts w:hint="eastAsia" w:ascii="宋体" w:hAnsi="宋体" w:eastAsia="宋体" w:cs="宋体"/>
          <w:bCs w:val="0"/>
          <w:sz w:val="24"/>
          <w:szCs w:val="24"/>
        </w:rPr>
        <w:t>物力资源配置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_Toc4700 \h </w:instrText>
      </w:r>
      <w:r>
        <w:rPr>
          <w:rFonts w:hint="eastAsia" w:ascii="宋体" w:hAnsi="宋体" w:eastAsia="宋体" w:cs="宋体"/>
          <w:sz w:val="24"/>
          <w:szCs w:val="24"/>
        </w:rPr>
        <w:fldChar w:fldCharType="separate"/>
      </w:r>
      <w:r>
        <w:rPr>
          <w:rFonts w:hint="eastAsia" w:ascii="宋体" w:hAnsi="宋体" w:eastAsia="宋体" w:cs="宋体"/>
          <w:sz w:val="24"/>
          <w:szCs w:val="24"/>
        </w:rPr>
        <w:t>43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_Toc26245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 </w:t>
      </w:r>
      <w:r>
        <w:rPr>
          <w:rFonts w:hint="eastAsia" w:ascii="宋体" w:hAnsi="宋体" w:eastAsia="宋体" w:cs="宋体"/>
          <w:bCs w:val="0"/>
          <w:sz w:val="24"/>
          <w:szCs w:val="24"/>
        </w:rPr>
        <w:t>其它方面的准备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_Toc26245 \h </w:instrText>
      </w:r>
      <w:r>
        <w:rPr>
          <w:rFonts w:hint="eastAsia" w:ascii="宋体" w:hAnsi="宋体" w:eastAsia="宋体" w:cs="宋体"/>
          <w:sz w:val="24"/>
          <w:szCs w:val="24"/>
        </w:rPr>
        <w:fldChar w:fldCharType="separate"/>
      </w:r>
      <w:r>
        <w:rPr>
          <w:rFonts w:hint="eastAsia" w:ascii="宋体" w:hAnsi="宋体" w:eastAsia="宋体" w:cs="宋体"/>
          <w:sz w:val="24"/>
          <w:szCs w:val="24"/>
        </w:rPr>
        <w:t>44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_Toc15930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第三章 施工管理及工序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_Toc15930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_Toc13952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第一节 </w:t>
      </w:r>
      <w:r>
        <w:rPr>
          <w:rFonts w:hint="eastAsia" w:ascii="宋体" w:hAnsi="宋体" w:eastAsia="宋体" w:cs="宋体"/>
          <w:bCs w:val="0"/>
          <w:sz w:val="24"/>
          <w:szCs w:val="24"/>
        </w:rPr>
        <w:t>工程实施程序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_Toc13952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_Toc7086 </w:instrText>
      </w:r>
      <w:r>
        <w:rPr>
          <w:rFonts w:hint="eastAsia" w:ascii="宋体" w:hAnsi="宋体" w:eastAsia="宋体" w:cs="宋体"/>
          <w:sz w:val="24"/>
          <w:szCs w:val="24"/>
        </w:rPr>
        <w:fldChar w:fldCharType="separate"/>
      </w:r>
      <w:r>
        <w:rPr>
          <w:rFonts w:hint="eastAsia" w:ascii="宋体" w:hAnsi="宋体" w:eastAsia="宋体" w:cs="宋体"/>
          <w:sz w:val="24"/>
          <w:szCs w:val="24"/>
        </w:rPr>
        <w:t>1.1 施工程序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_Toc7086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_Toc23955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ascii="宋体" w:hAnsi="宋体" w:eastAsia="宋体" w:cs="宋体"/>
          <w:bCs w:val="0"/>
          <w:sz w:val="24"/>
          <w:szCs w:val="24"/>
        </w:rPr>
        <w:t>现场配合和协调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_Toc23955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_Toc28998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第二节 </w:t>
      </w:r>
      <w:r>
        <w:rPr>
          <w:rFonts w:hint="eastAsia" w:ascii="宋体" w:hAnsi="宋体" w:eastAsia="宋体" w:cs="宋体"/>
          <w:bCs w:val="0"/>
          <w:sz w:val="24"/>
          <w:szCs w:val="24"/>
        </w:rPr>
        <w:t>施工工序主要控制措施及要求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_Toc28998 \h </w:instrText>
      </w:r>
      <w:r>
        <w:rPr>
          <w:rFonts w:hint="eastAsia" w:ascii="宋体" w:hAnsi="宋体" w:eastAsia="宋体" w:cs="宋体"/>
          <w:sz w:val="24"/>
          <w:szCs w:val="24"/>
        </w:rPr>
        <w:fldChar w:fldCharType="separate"/>
      </w:r>
      <w:r>
        <w:rPr>
          <w:rFonts w:hint="eastAsia" w:ascii="宋体" w:hAnsi="宋体" w:eastAsia="宋体" w:cs="宋体"/>
          <w:sz w:val="24"/>
          <w:szCs w:val="24"/>
        </w:rPr>
        <w:t>47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_Toc24825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2.1 </w:t>
      </w:r>
      <w:r>
        <w:rPr>
          <w:rFonts w:hint="eastAsia" w:ascii="宋体" w:hAnsi="宋体" w:eastAsia="宋体" w:cs="宋体"/>
          <w:bCs w:val="0"/>
          <w:sz w:val="24"/>
          <w:szCs w:val="24"/>
        </w:rPr>
        <w:t>施工材料进场控制措施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_Toc24825 \h </w:instrText>
      </w:r>
      <w:r>
        <w:rPr>
          <w:rFonts w:hint="eastAsia" w:ascii="宋体" w:hAnsi="宋体" w:eastAsia="宋体" w:cs="宋体"/>
          <w:sz w:val="24"/>
          <w:szCs w:val="24"/>
        </w:rPr>
        <w:fldChar w:fldCharType="separate"/>
      </w:r>
      <w:r>
        <w:rPr>
          <w:rFonts w:hint="eastAsia" w:ascii="宋体" w:hAnsi="宋体" w:eastAsia="宋体" w:cs="宋体"/>
          <w:sz w:val="24"/>
          <w:szCs w:val="24"/>
        </w:rPr>
        <w:t>47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_Toc11433 </w:instrText>
      </w:r>
      <w:r>
        <w:rPr>
          <w:rFonts w:hint="eastAsia" w:ascii="宋体" w:hAnsi="宋体" w:eastAsia="宋体" w:cs="宋体"/>
          <w:sz w:val="24"/>
          <w:szCs w:val="24"/>
        </w:rPr>
        <w:fldChar w:fldCharType="separate"/>
      </w:r>
      <w:r>
        <w:rPr>
          <w:rFonts w:hint="eastAsia" w:ascii="宋体" w:hAnsi="宋体" w:eastAsia="宋体" w:cs="宋体"/>
          <w:sz w:val="24"/>
          <w:szCs w:val="24"/>
        </w:rPr>
        <w:t>2.2 施工技术措施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_Toc11433 \h </w:instrText>
      </w:r>
      <w:r>
        <w:rPr>
          <w:rFonts w:hint="eastAsia" w:ascii="宋体" w:hAnsi="宋体" w:eastAsia="宋体" w:cs="宋体"/>
          <w:sz w:val="24"/>
          <w:szCs w:val="24"/>
        </w:rPr>
        <w:fldChar w:fldCharType="separate"/>
      </w:r>
      <w:r>
        <w:rPr>
          <w:rFonts w:hint="eastAsia" w:ascii="宋体" w:hAnsi="宋体" w:eastAsia="宋体" w:cs="宋体"/>
          <w:sz w:val="24"/>
          <w:szCs w:val="24"/>
        </w:rPr>
        <w:t>48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_Toc26543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2.2.1 开挖与管线预埋、敷设线路施工技术措施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_Toc26543 \h </w:instrText>
      </w:r>
      <w:r>
        <w:rPr>
          <w:rFonts w:hint="eastAsia" w:ascii="宋体" w:hAnsi="宋体" w:eastAsia="宋体" w:cs="宋体"/>
          <w:sz w:val="24"/>
          <w:szCs w:val="24"/>
        </w:rPr>
        <w:fldChar w:fldCharType="separate"/>
      </w:r>
      <w:r>
        <w:rPr>
          <w:rFonts w:hint="eastAsia" w:ascii="宋体" w:hAnsi="宋体" w:eastAsia="宋体" w:cs="宋体"/>
          <w:sz w:val="24"/>
          <w:szCs w:val="24"/>
        </w:rPr>
        <w:t>48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_Toc20749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2.2.2 光缆敷设及熔接施工技术措施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_Toc20749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_Toc10132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2.2.3 户外机箱机稳压电源施工技术措施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_Toc10132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_Toc1611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2.2.4 监控中心及机房设备安装技术措施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_Toc1611 \h </w:instrText>
      </w:r>
      <w:r>
        <w:rPr>
          <w:rFonts w:hint="eastAsia" w:ascii="宋体" w:hAnsi="宋体" w:eastAsia="宋体" w:cs="宋体"/>
          <w:sz w:val="24"/>
          <w:szCs w:val="24"/>
        </w:rPr>
        <w:fldChar w:fldCharType="separate"/>
      </w:r>
      <w:r>
        <w:rPr>
          <w:rFonts w:hint="eastAsia" w:ascii="宋体" w:hAnsi="宋体" w:eastAsia="宋体" w:cs="宋体"/>
          <w:sz w:val="24"/>
          <w:szCs w:val="24"/>
        </w:rPr>
        <w:t>52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_Toc13486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2.2.5 基础预埋及立杆技术措施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_Toc13486 \h </w:instrText>
      </w:r>
      <w:r>
        <w:rPr>
          <w:rFonts w:hint="eastAsia" w:ascii="宋体" w:hAnsi="宋体" w:eastAsia="宋体" w:cs="宋体"/>
          <w:sz w:val="24"/>
          <w:szCs w:val="24"/>
        </w:rPr>
        <w:fldChar w:fldCharType="separate"/>
      </w:r>
      <w:r>
        <w:rPr>
          <w:rFonts w:hint="eastAsia" w:ascii="宋体" w:hAnsi="宋体" w:eastAsia="宋体" w:cs="宋体"/>
          <w:sz w:val="24"/>
          <w:szCs w:val="24"/>
        </w:rPr>
        <w:t>53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_Toc13728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2.2.6 防雷地网施工技术措施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_Toc13728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_Toc2923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2.2.7 立杆距离技术措施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_Toc2923 \h </w:instrText>
      </w:r>
      <w:r>
        <w:rPr>
          <w:rFonts w:hint="eastAsia" w:ascii="宋体" w:hAnsi="宋体" w:eastAsia="宋体" w:cs="宋体"/>
          <w:sz w:val="24"/>
          <w:szCs w:val="24"/>
        </w:rPr>
        <w:fldChar w:fldCharType="separate"/>
      </w:r>
      <w:r>
        <w:rPr>
          <w:rFonts w:hint="eastAsia" w:ascii="宋体" w:hAnsi="宋体" w:eastAsia="宋体" w:cs="宋体"/>
          <w:sz w:val="24"/>
          <w:szCs w:val="24"/>
        </w:rPr>
        <w:t>58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_Toc18775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2.2.8 设备安装技术措施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_Toc18775 \h </w:instrText>
      </w:r>
      <w:r>
        <w:rPr>
          <w:rFonts w:hint="eastAsia" w:ascii="宋体" w:hAnsi="宋体" w:eastAsia="宋体" w:cs="宋体"/>
          <w:sz w:val="24"/>
          <w:szCs w:val="24"/>
        </w:rPr>
        <w:fldChar w:fldCharType="separate"/>
      </w:r>
      <w:r>
        <w:rPr>
          <w:rFonts w:hint="eastAsia" w:ascii="宋体" w:hAnsi="宋体" w:eastAsia="宋体" w:cs="宋体"/>
          <w:sz w:val="24"/>
          <w:szCs w:val="24"/>
        </w:rPr>
        <w:t>59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_Toc13848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2.2.8.1 高清卡口型电子警察系统安装技术措施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_Toc13848 \h </w:instrText>
      </w:r>
      <w:r>
        <w:rPr>
          <w:rFonts w:hint="eastAsia" w:ascii="宋体" w:hAnsi="宋体" w:eastAsia="宋体" w:cs="宋体"/>
          <w:sz w:val="24"/>
          <w:szCs w:val="24"/>
        </w:rPr>
        <w:fldChar w:fldCharType="separate"/>
      </w:r>
      <w:r>
        <w:rPr>
          <w:rFonts w:hint="eastAsia" w:ascii="宋体" w:hAnsi="宋体" w:eastAsia="宋体" w:cs="宋体"/>
          <w:sz w:val="24"/>
          <w:szCs w:val="24"/>
        </w:rPr>
        <w:t>59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_Toc3831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2.2.8.2 线圈和杆件施工技术措施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_Toc3831 \h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_Toc12005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2.2.9 设道路交通标线施划技术措施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_Toc12005 \h </w:instrText>
      </w:r>
      <w:r>
        <w:rPr>
          <w:rFonts w:hint="eastAsia" w:ascii="宋体" w:hAnsi="宋体" w:eastAsia="宋体" w:cs="宋体"/>
          <w:sz w:val="24"/>
          <w:szCs w:val="24"/>
        </w:rPr>
        <w:fldChar w:fldCharType="separate"/>
      </w:r>
      <w:r>
        <w:rPr>
          <w:rFonts w:hint="eastAsia" w:ascii="宋体" w:hAnsi="宋体" w:eastAsia="宋体" w:cs="宋体"/>
          <w:sz w:val="24"/>
          <w:szCs w:val="24"/>
        </w:rPr>
        <w:t>68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_Toc30632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2.2.10 道路交通标志安装技术措施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_Toc30632 \h </w:instrText>
      </w:r>
      <w:r>
        <w:rPr>
          <w:rFonts w:hint="eastAsia" w:ascii="宋体" w:hAnsi="宋体" w:eastAsia="宋体" w:cs="宋体"/>
          <w:sz w:val="24"/>
          <w:szCs w:val="24"/>
        </w:rPr>
        <w:fldChar w:fldCharType="separate"/>
      </w:r>
      <w:r>
        <w:rPr>
          <w:rFonts w:hint="eastAsia" w:ascii="宋体" w:hAnsi="宋体" w:eastAsia="宋体" w:cs="宋体"/>
          <w:sz w:val="24"/>
          <w:szCs w:val="24"/>
        </w:rPr>
        <w:t>72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_Toc27435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第四章 施工目标管理及保证措施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_Toc27435 \h </w:instrText>
      </w:r>
      <w:r>
        <w:rPr>
          <w:rFonts w:hint="eastAsia" w:ascii="宋体" w:hAnsi="宋体" w:eastAsia="宋体" w:cs="宋体"/>
          <w:sz w:val="24"/>
          <w:szCs w:val="24"/>
        </w:rPr>
        <w:fldChar w:fldCharType="separate"/>
      </w:r>
      <w:r>
        <w:rPr>
          <w:rFonts w:hint="eastAsia" w:ascii="宋体" w:hAnsi="宋体" w:eastAsia="宋体" w:cs="宋体"/>
          <w:sz w:val="24"/>
          <w:szCs w:val="24"/>
        </w:rPr>
        <w:t>73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_Toc4327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第一节 </w:t>
      </w:r>
      <w:r>
        <w:rPr>
          <w:rFonts w:hint="eastAsia" w:ascii="宋体" w:hAnsi="宋体" w:eastAsia="宋体" w:cs="宋体"/>
          <w:bCs w:val="0"/>
          <w:sz w:val="24"/>
          <w:szCs w:val="24"/>
        </w:rPr>
        <w:t>工期目标及施工进度保证措施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_Toc4327 \h </w:instrText>
      </w:r>
      <w:r>
        <w:rPr>
          <w:rFonts w:hint="eastAsia" w:ascii="宋体" w:hAnsi="宋体" w:eastAsia="宋体" w:cs="宋体"/>
          <w:sz w:val="24"/>
          <w:szCs w:val="24"/>
        </w:rPr>
        <w:fldChar w:fldCharType="separate"/>
      </w:r>
      <w:r>
        <w:rPr>
          <w:rFonts w:hint="eastAsia" w:ascii="宋体" w:hAnsi="宋体" w:eastAsia="宋体" w:cs="宋体"/>
          <w:sz w:val="24"/>
          <w:szCs w:val="24"/>
        </w:rPr>
        <w:t>73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_Toc8665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ascii="宋体" w:hAnsi="宋体" w:eastAsia="宋体" w:cs="宋体"/>
          <w:bCs w:val="0"/>
          <w:sz w:val="24"/>
          <w:szCs w:val="24"/>
        </w:rPr>
        <w:t>工期目标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_Toc8665 \h </w:instrText>
      </w:r>
      <w:r>
        <w:rPr>
          <w:rFonts w:hint="eastAsia" w:ascii="宋体" w:hAnsi="宋体" w:eastAsia="宋体" w:cs="宋体"/>
          <w:sz w:val="24"/>
          <w:szCs w:val="24"/>
        </w:rPr>
        <w:fldChar w:fldCharType="separate"/>
      </w:r>
      <w:r>
        <w:rPr>
          <w:rFonts w:hint="eastAsia" w:ascii="宋体" w:hAnsi="宋体" w:eastAsia="宋体" w:cs="宋体"/>
          <w:sz w:val="24"/>
          <w:szCs w:val="24"/>
        </w:rPr>
        <w:t>73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_Toc8134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ascii="宋体" w:hAnsi="宋体" w:eastAsia="宋体" w:cs="宋体"/>
          <w:bCs w:val="0"/>
          <w:sz w:val="24"/>
          <w:szCs w:val="24"/>
        </w:rPr>
        <w:t>施工进度控制保证措施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_Toc8134 \h </w:instrText>
      </w:r>
      <w:r>
        <w:rPr>
          <w:rFonts w:hint="eastAsia" w:ascii="宋体" w:hAnsi="宋体" w:eastAsia="宋体" w:cs="宋体"/>
          <w:sz w:val="24"/>
          <w:szCs w:val="24"/>
        </w:rPr>
        <w:fldChar w:fldCharType="separate"/>
      </w:r>
      <w:r>
        <w:rPr>
          <w:rFonts w:hint="eastAsia" w:ascii="宋体" w:hAnsi="宋体" w:eastAsia="宋体" w:cs="宋体"/>
          <w:sz w:val="24"/>
          <w:szCs w:val="24"/>
        </w:rPr>
        <w:t>73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_Toc11811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1.2.1 施工进度控制的宏观保证措施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_Toc11811 \h </w:instrText>
      </w:r>
      <w:r>
        <w:rPr>
          <w:rFonts w:hint="eastAsia" w:ascii="宋体" w:hAnsi="宋体" w:eastAsia="宋体" w:cs="宋体"/>
          <w:sz w:val="24"/>
          <w:szCs w:val="24"/>
        </w:rPr>
        <w:fldChar w:fldCharType="separate"/>
      </w:r>
      <w:r>
        <w:rPr>
          <w:rFonts w:hint="eastAsia" w:ascii="宋体" w:hAnsi="宋体" w:eastAsia="宋体" w:cs="宋体"/>
          <w:sz w:val="24"/>
          <w:szCs w:val="24"/>
        </w:rPr>
        <w:t>73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_Toc23374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1.2.2 施工进度控制的具体保证措施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_Toc23374 \h </w:instrText>
      </w:r>
      <w:r>
        <w:rPr>
          <w:rFonts w:hint="eastAsia" w:ascii="宋体" w:hAnsi="宋体" w:eastAsia="宋体" w:cs="宋体"/>
          <w:sz w:val="24"/>
          <w:szCs w:val="24"/>
        </w:rPr>
        <w:fldChar w:fldCharType="separate"/>
      </w:r>
      <w:r>
        <w:rPr>
          <w:rFonts w:hint="eastAsia" w:ascii="宋体" w:hAnsi="宋体" w:eastAsia="宋体" w:cs="宋体"/>
          <w:sz w:val="24"/>
          <w:szCs w:val="24"/>
        </w:rPr>
        <w:t>74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_Toc14582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1.2.3 施工进度控制的主要保证措施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_Toc14582 \h </w:instrText>
      </w:r>
      <w:r>
        <w:rPr>
          <w:rFonts w:hint="eastAsia" w:ascii="宋体" w:hAnsi="宋体" w:eastAsia="宋体" w:cs="宋体"/>
          <w:sz w:val="24"/>
          <w:szCs w:val="24"/>
        </w:rPr>
        <w:fldChar w:fldCharType="separate"/>
      </w:r>
      <w:r>
        <w:rPr>
          <w:rFonts w:hint="eastAsia" w:ascii="宋体" w:hAnsi="宋体" w:eastAsia="宋体" w:cs="宋体"/>
          <w:sz w:val="24"/>
          <w:szCs w:val="24"/>
        </w:rPr>
        <w:t>75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_Toc26295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第二节 </w:t>
      </w:r>
      <w:r>
        <w:rPr>
          <w:rFonts w:hint="eastAsia" w:ascii="宋体" w:hAnsi="宋体" w:eastAsia="宋体" w:cs="宋体"/>
          <w:bCs w:val="0"/>
          <w:sz w:val="24"/>
          <w:szCs w:val="24"/>
        </w:rPr>
        <w:t>质量目标及保证措施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_Toc26295 \h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_Toc29329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2.1 </w:t>
      </w:r>
      <w:r>
        <w:rPr>
          <w:rFonts w:hint="eastAsia" w:ascii="宋体" w:hAnsi="宋体" w:eastAsia="宋体" w:cs="宋体"/>
          <w:bCs w:val="0"/>
          <w:sz w:val="24"/>
          <w:szCs w:val="24"/>
        </w:rPr>
        <w:t>质量目标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_Toc29329 \h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_Toc29794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2.2 </w:t>
      </w:r>
      <w:r>
        <w:rPr>
          <w:rFonts w:hint="eastAsia" w:ascii="宋体" w:hAnsi="宋体" w:eastAsia="宋体" w:cs="宋体"/>
          <w:bCs w:val="0"/>
          <w:sz w:val="24"/>
          <w:szCs w:val="24"/>
        </w:rPr>
        <w:t>施工质量保证措施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_Toc29794 \h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_Toc25624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2.2.1 质量控制概述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_Toc25624 \h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_Toc17898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2.2.2 质量控制所采用的规范、规程及标准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_Toc17898 \h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_Toc7240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2.2.3 质量控制编制范围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_Toc7240 \h </w:instrText>
      </w:r>
      <w:r>
        <w:rPr>
          <w:rFonts w:hint="eastAsia" w:ascii="宋体" w:hAnsi="宋体" w:eastAsia="宋体" w:cs="宋体"/>
          <w:sz w:val="24"/>
          <w:szCs w:val="24"/>
        </w:rPr>
        <w:fldChar w:fldCharType="separate"/>
      </w:r>
      <w:r>
        <w:rPr>
          <w:rFonts w:hint="eastAsia" w:ascii="宋体" w:hAnsi="宋体" w:eastAsia="宋体" w:cs="宋体"/>
          <w:sz w:val="24"/>
          <w:szCs w:val="24"/>
        </w:rPr>
        <w:t>78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_Toc14753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2.2.4 施工质量保证措施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_Toc14753 \h </w:instrText>
      </w:r>
      <w:r>
        <w:rPr>
          <w:rFonts w:hint="eastAsia" w:ascii="宋体" w:hAnsi="宋体" w:eastAsia="宋体" w:cs="宋体"/>
          <w:sz w:val="24"/>
          <w:szCs w:val="24"/>
        </w:rPr>
        <w:fldChar w:fldCharType="separate"/>
      </w:r>
      <w:r>
        <w:rPr>
          <w:rFonts w:hint="eastAsia" w:ascii="宋体" w:hAnsi="宋体" w:eastAsia="宋体" w:cs="宋体"/>
          <w:sz w:val="24"/>
          <w:szCs w:val="24"/>
        </w:rPr>
        <w:t>78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_Toc1132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2.2.4 施工过程中的质量控制程序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_Toc1132 \h </w:instrText>
      </w:r>
      <w:r>
        <w:rPr>
          <w:rFonts w:hint="eastAsia" w:ascii="宋体" w:hAnsi="宋体" w:eastAsia="宋体" w:cs="宋体"/>
          <w:sz w:val="24"/>
          <w:szCs w:val="24"/>
        </w:rPr>
        <w:fldChar w:fldCharType="separate"/>
      </w:r>
      <w:r>
        <w:rPr>
          <w:rFonts w:hint="eastAsia" w:ascii="宋体" w:hAnsi="宋体" w:eastAsia="宋体" w:cs="宋体"/>
          <w:sz w:val="24"/>
          <w:szCs w:val="24"/>
        </w:rPr>
        <w:t>79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_Toc28409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2.2.5 施工质量控制示意图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_Toc28409 \h </w:instrText>
      </w:r>
      <w:r>
        <w:rPr>
          <w:rFonts w:hint="eastAsia" w:ascii="宋体" w:hAnsi="宋体" w:eastAsia="宋体" w:cs="宋体"/>
          <w:sz w:val="24"/>
          <w:szCs w:val="24"/>
        </w:rPr>
        <w:fldChar w:fldCharType="separate"/>
      </w:r>
      <w:r>
        <w:rPr>
          <w:rFonts w:hint="eastAsia" w:ascii="宋体" w:hAnsi="宋体" w:eastAsia="宋体" w:cs="宋体"/>
          <w:sz w:val="24"/>
          <w:szCs w:val="24"/>
        </w:rPr>
        <w:t>80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_Toc25785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第三节 </w:t>
      </w:r>
      <w:r>
        <w:rPr>
          <w:rFonts w:hint="eastAsia" w:ascii="宋体" w:hAnsi="宋体" w:eastAsia="宋体" w:cs="宋体"/>
          <w:bCs w:val="0"/>
          <w:sz w:val="24"/>
          <w:szCs w:val="24"/>
        </w:rPr>
        <w:t>施工成本目标及保证措施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_Toc25785 \h </w:instrText>
      </w:r>
      <w:r>
        <w:rPr>
          <w:rFonts w:hint="eastAsia" w:ascii="宋体" w:hAnsi="宋体" w:eastAsia="宋体" w:cs="宋体"/>
          <w:sz w:val="24"/>
          <w:szCs w:val="24"/>
        </w:rPr>
        <w:fldChar w:fldCharType="separate"/>
      </w:r>
      <w:r>
        <w:rPr>
          <w:rFonts w:hint="eastAsia" w:ascii="宋体" w:hAnsi="宋体" w:eastAsia="宋体" w:cs="宋体"/>
          <w:sz w:val="24"/>
          <w:szCs w:val="24"/>
        </w:rPr>
        <w:t>81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_Toc26035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 </w:t>
      </w:r>
      <w:r>
        <w:rPr>
          <w:rFonts w:hint="eastAsia" w:ascii="宋体" w:hAnsi="宋体" w:eastAsia="宋体" w:cs="宋体"/>
          <w:bCs w:val="0"/>
          <w:sz w:val="24"/>
          <w:szCs w:val="24"/>
        </w:rPr>
        <w:t>施工成本目标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_Toc26035 \h </w:instrText>
      </w:r>
      <w:r>
        <w:rPr>
          <w:rFonts w:hint="eastAsia" w:ascii="宋体" w:hAnsi="宋体" w:eastAsia="宋体" w:cs="宋体"/>
          <w:sz w:val="24"/>
          <w:szCs w:val="24"/>
        </w:rPr>
        <w:fldChar w:fldCharType="separate"/>
      </w:r>
      <w:r>
        <w:rPr>
          <w:rFonts w:hint="eastAsia" w:ascii="宋体" w:hAnsi="宋体" w:eastAsia="宋体" w:cs="宋体"/>
          <w:sz w:val="24"/>
          <w:szCs w:val="24"/>
        </w:rPr>
        <w:t>81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_Toc12727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 </w:t>
      </w:r>
      <w:r>
        <w:rPr>
          <w:rFonts w:hint="eastAsia" w:ascii="宋体" w:hAnsi="宋体" w:eastAsia="宋体" w:cs="宋体"/>
          <w:bCs w:val="0"/>
          <w:sz w:val="24"/>
          <w:szCs w:val="24"/>
        </w:rPr>
        <w:t>施工成本的构成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_Toc12727 \h </w:instrText>
      </w:r>
      <w:r>
        <w:rPr>
          <w:rFonts w:hint="eastAsia" w:ascii="宋体" w:hAnsi="宋体" w:eastAsia="宋体" w:cs="宋体"/>
          <w:sz w:val="24"/>
          <w:szCs w:val="24"/>
        </w:rPr>
        <w:fldChar w:fldCharType="separate"/>
      </w:r>
      <w:r>
        <w:rPr>
          <w:rFonts w:hint="eastAsia" w:ascii="宋体" w:hAnsi="宋体" w:eastAsia="宋体" w:cs="宋体"/>
          <w:sz w:val="24"/>
          <w:szCs w:val="24"/>
        </w:rPr>
        <w:t>81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_Toc19841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3.3 </w:t>
      </w:r>
      <w:r>
        <w:rPr>
          <w:rFonts w:hint="eastAsia" w:ascii="宋体" w:hAnsi="宋体" w:eastAsia="宋体" w:cs="宋体"/>
          <w:bCs w:val="0"/>
          <w:sz w:val="24"/>
          <w:szCs w:val="24"/>
        </w:rPr>
        <w:t>施工成本控制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_Toc19841 \h </w:instrText>
      </w:r>
      <w:r>
        <w:rPr>
          <w:rFonts w:hint="eastAsia" w:ascii="宋体" w:hAnsi="宋体" w:eastAsia="宋体" w:cs="宋体"/>
          <w:sz w:val="24"/>
          <w:szCs w:val="24"/>
        </w:rPr>
        <w:fldChar w:fldCharType="separate"/>
      </w:r>
      <w:r>
        <w:rPr>
          <w:rFonts w:hint="eastAsia" w:ascii="宋体" w:hAnsi="宋体" w:eastAsia="宋体" w:cs="宋体"/>
          <w:sz w:val="24"/>
          <w:szCs w:val="24"/>
        </w:rPr>
        <w:t>82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_Toc29843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3.4 施工成本控制措施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_Toc29843 \h </w:instrText>
      </w:r>
      <w:r>
        <w:rPr>
          <w:rFonts w:hint="eastAsia" w:ascii="宋体" w:hAnsi="宋体" w:eastAsia="宋体" w:cs="宋体"/>
          <w:sz w:val="24"/>
          <w:szCs w:val="24"/>
        </w:rPr>
        <w:fldChar w:fldCharType="separate"/>
      </w:r>
      <w:r>
        <w:rPr>
          <w:rFonts w:hint="eastAsia" w:ascii="宋体" w:hAnsi="宋体" w:eastAsia="宋体" w:cs="宋体"/>
          <w:sz w:val="24"/>
          <w:szCs w:val="24"/>
        </w:rPr>
        <w:t>83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_Toc25151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3.4.1 组织措施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_Toc25151 \h </w:instrText>
      </w:r>
      <w:r>
        <w:rPr>
          <w:rFonts w:hint="eastAsia" w:ascii="宋体" w:hAnsi="宋体" w:eastAsia="宋体" w:cs="宋体"/>
          <w:sz w:val="24"/>
          <w:szCs w:val="24"/>
        </w:rPr>
        <w:fldChar w:fldCharType="separate"/>
      </w:r>
      <w:r>
        <w:rPr>
          <w:rFonts w:hint="eastAsia" w:ascii="宋体" w:hAnsi="宋体" w:eastAsia="宋体" w:cs="宋体"/>
          <w:sz w:val="24"/>
          <w:szCs w:val="24"/>
        </w:rPr>
        <w:t>83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_Toc14850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3.4.2 技术措施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_Toc14850 \h </w:instrText>
      </w:r>
      <w:r>
        <w:rPr>
          <w:rFonts w:hint="eastAsia" w:ascii="宋体" w:hAnsi="宋体" w:eastAsia="宋体" w:cs="宋体"/>
          <w:sz w:val="24"/>
          <w:szCs w:val="24"/>
        </w:rPr>
        <w:fldChar w:fldCharType="separate"/>
      </w:r>
      <w:r>
        <w:rPr>
          <w:rFonts w:hint="eastAsia" w:ascii="宋体" w:hAnsi="宋体" w:eastAsia="宋体" w:cs="宋体"/>
          <w:sz w:val="24"/>
          <w:szCs w:val="24"/>
        </w:rPr>
        <w:t>86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_Toc13336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3.4.3 经济措施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_Toc13336 \h </w:instrText>
      </w:r>
      <w:r>
        <w:rPr>
          <w:rFonts w:hint="eastAsia" w:ascii="宋体" w:hAnsi="宋体" w:eastAsia="宋体" w:cs="宋体"/>
          <w:sz w:val="24"/>
          <w:szCs w:val="24"/>
        </w:rPr>
        <w:fldChar w:fldCharType="separate"/>
      </w:r>
      <w:r>
        <w:rPr>
          <w:rFonts w:hint="eastAsia" w:ascii="宋体" w:hAnsi="宋体" w:eastAsia="宋体" w:cs="宋体"/>
          <w:sz w:val="24"/>
          <w:szCs w:val="24"/>
        </w:rPr>
        <w:t>86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_Toc22181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3.4.4 合同措施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_Toc22181 \h </w:instrText>
      </w:r>
      <w:r>
        <w:rPr>
          <w:rFonts w:hint="eastAsia" w:ascii="宋体" w:hAnsi="宋体" w:eastAsia="宋体" w:cs="宋体"/>
          <w:sz w:val="24"/>
          <w:szCs w:val="24"/>
        </w:rPr>
        <w:fldChar w:fldCharType="separate"/>
      </w:r>
      <w:r>
        <w:rPr>
          <w:rFonts w:hint="eastAsia" w:ascii="宋体" w:hAnsi="宋体" w:eastAsia="宋体" w:cs="宋体"/>
          <w:sz w:val="24"/>
          <w:szCs w:val="24"/>
        </w:rPr>
        <w:t>87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_Toc15811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第五章 </w:t>
      </w:r>
      <w:r>
        <w:rPr>
          <w:rFonts w:hint="eastAsia" w:ascii="宋体" w:hAnsi="宋体" w:eastAsia="宋体" w:cs="宋体"/>
          <w:sz w:val="24"/>
          <w:szCs w:val="24"/>
        </w:rPr>
        <w:t>系统信息资料管理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_Toc15811 \h </w:instrText>
      </w:r>
      <w:r>
        <w:rPr>
          <w:rFonts w:hint="eastAsia" w:ascii="宋体" w:hAnsi="宋体" w:eastAsia="宋体" w:cs="宋体"/>
          <w:sz w:val="24"/>
          <w:szCs w:val="24"/>
        </w:rPr>
        <w:fldChar w:fldCharType="separate"/>
      </w:r>
      <w:r>
        <w:rPr>
          <w:rFonts w:hint="eastAsia" w:ascii="宋体" w:hAnsi="宋体" w:eastAsia="宋体" w:cs="宋体"/>
          <w:sz w:val="24"/>
          <w:szCs w:val="24"/>
        </w:rPr>
        <w:t>88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_Toc22668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第一节 施工信息管理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_Toc22668 \h </w:instrText>
      </w:r>
      <w:r>
        <w:rPr>
          <w:rFonts w:hint="eastAsia" w:ascii="宋体" w:hAnsi="宋体" w:eastAsia="宋体" w:cs="宋体"/>
          <w:sz w:val="24"/>
          <w:szCs w:val="24"/>
        </w:rPr>
        <w:fldChar w:fldCharType="separate"/>
      </w:r>
      <w:r>
        <w:rPr>
          <w:rFonts w:hint="eastAsia" w:ascii="宋体" w:hAnsi="宋体" w:eastAsia="宋体" w:cs="宋体"/>
          <w:sz w:val="24"/>
          <w:szCs w:val="24"/>
        </w:rPr>
        <w:t>88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_Toc8824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ascii="宋体" w:hAnsi="宋体" w:eastAsia="宋体" w:cs="宋体"/>
          <w:bCs w:val="0"/>
          <w:sz w:val="24"/>
          <w:szCs w:val="24"/>
        </w:rPr>
        <w:t>施工准备文档的管理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_Toc8824 \h </w:instrText>
      </w:r>
      <w:r>
        <w:rPr>
          <w:rFonts w:hint="eastAsia" w:ascii="宋体" w:hAnsi="宋体" w:eastAsia="宋体" w:cs="宋体"/>
          <w:sz w:val="24"/>
          <w:szCs w:val="24"/>
        </w:rPr>
        <w:fldChar w:fldCharType="separate"/>
      </w:r>
      <w:r>
        <w:rPr>
          <w:rFonts w:hint="eastAsia" w:ascii="宋体" w:hAnsi="宋体" w:eastAsia="宋体" w:cs="宋体"/>
          <w:sz w:val="24"/>
          <w:szCs w:val="24"/>
        </w:rPr>
        <w:t>88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_Toc5582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ascii="宋体" w:hAnsi="宋体" w:eastAsia="宋体" w:cs="宋体"/>
          <w:bCs w:val="0"/>
          <w:sz w:val="24"/>
          <w:szCs w:val="24"/>
        </w:rPr>
        <w:t>施工过程文档的管理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_Toc5582 \h </w:instrText>
      </w:r>
      <w:r>
        <w:rPr>
          <w:rFonts w:hint="eastAsia" w:ascii="宋体" w:hAnsi="宋体" w:eastAsia="宋体" w:cs="宋体"/>
          <w:sz w:val="24"/>
          <w:szCs w:val="24"/>
        </w:rPr>
        <w:fldChar w:fldCharType="separate"/>
      </w:r>
      <w:r>
        <w:rPr>
          <w:rFonts w:hint="eastAsia" w:ascii="宋体" w:hAnsi="宋体" w:eastAsia="宋体" w:cs="宋体"/>
          <w:sz w:val="24"/>
          <w:szCs w:val="24"/>
        </w:rPr>
        <w:t>89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_Toc10413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1.3 </w:t>
      </w:r>
      <w:r>
        <w:rPr>
          <w:rFonts w:hint="eastAsia" w:ascii="宋体" w:hAnsi="宋体" w:eastAsia="宋体" w:cs="宋体"/>
          <w:bCs w:val="0"/>
          <w:sz w:val="24"/>
          <w:szCs w:val="24"/>
        </w:rPr>
        <w:t>竣工验收文档的管理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_Toc10413 \h </w:instrText>
      </w:r>
      <w:r>
        <w:rPr>
          <w:rFonts w:hint="eastAsia" w:ascii="宋体" w:hAnsi="宋体" w:eastAsia="宋体" w:cs="宋体"/>
          <w:sz w:val="24"/>
          <w:szCs w:val="24"/>
        </w:rPr>
        <w:fldChar w:fldCharType="separate"/>
      </w:r>
      <w:r>
        <w:rPr>
          <w:rFonts w:hint="eastAsia" w:ascii="宋体" w:hAnsi="宋体" w:eastAsia="宋体" w:cs="宋体"/>
          <w:sz w:val="24"/>
          <w:szCs w:val="24"/>
        </w:rPr>
        <w:t>89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_Toc18654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第二节 施工界面管理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_Toc18654 \h </w:instrText>
      </w:r>
      <w:r>
        <w:rPr>
          <w:rFonts w:hint="eastAsia" w:ascii="宋体" w:hAnsi="宋体" w:eastAsia="宋体" w:cs="宋体"/>
          <w:sz w:val="24"/>
          <w:szCs w:val="24"/>
        </w:rPr>
        <w:fldChar w:fldCharType="separate"/>
      </w:r>
      <w:r>
        <w:rPr>
          <w:rFonts w:hint="eastAsia" w:ascii="宋体" w:hAnsi="宋体" w:eastAsia="宋体" w:cs="宋体"/>
          <w:sz w:val="24"/>
          <w:szCs w:val="24"/>
        </w:rPr>
        <w:t>90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_Toc16277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2.1 </w:t>
      </w:r>
      <w:r>
        <w:rPr>
          <w:rFonts w:hint="eastAsia" w:ascii="宋体" w:hAnsi="宋体" w:eastAsia="宋体" w:cs="宋体"/>
          <w:bCs w:val="0"/>
          <w:sz w:val="24"/>
          <w:szCs w:val="24"/>
        </w:rPr>
        <w:t>施工组织管理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_Toc16277 \h </w:instrText>
      </w:r>
      <w:r>
        <w:rPr>
          <w:rFonts w:hint="eastAsia" w:ascii="宋体" w:hAnsi="宋体" w:eastAsia="宋体" w:cs="宋体"/>
          <w:sz w:val="24"/>
          <w:szCs w:val="24"/>
        </w:rPr>
        <w:fldChar w:fldCharType="separate"/>
      </w:r>
      <w:r>
        <w:rPr>
          <w:rFonts w:hint="eastAsia" w:ascii="宋体" w:hAnsi="宋体" w:eastAsia="宋体" w:cs="宋体"/>
          <w:sz w:val="24"/>
          <w:szCs w:val="24"/>
        </w:rPr>
        <w:t>90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_Toc28801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2.2 施工现场资料、材料管理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_Toc28801 \h </w:instrText>
      </w:r>
      <w:r>
        <w:rPr>
          <w:rFonts w:hint="eastAsia" w:ascii="宋体" w:hAnsi="宋体" w:eastAsia="宋体" w:cs="宋体"/>
          <w:sz w:val="24"/>
          <w:szCs w:val="24"/>
        </w:rPr>
        <w:fldChar w:fldCharType="separate"/>
      </w:r>
      <w:r>
        <w:rPr>
          <w:rFonts w:hint="eastAsia" w:ascii="宋体" w:hAnsi="宋体" w:eastAsia="宋体" w:cs="宋体"/>
          <w:sz w:val="24"/>
          <w:szCs w:val="24"/>
        </w:rPr>
        <w:t>91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_Toc6300 </w:instrText>
      </w:r>
      <w:r>
        <w:rPr>
          <w:rFonts w:hint="eastAsia" w:ascii="宋体" w:hAnsi="宋体" w:eastAsia="宋体" w:cs="宋体"/>
          <w:sz w:val="24"/>
          <w:szCs w:val="24"/>
        </w:rPr>
        <w:fldChar w:fldCharType="separate"/>
      </w:r>
      <w:r>
        <w:rPr>
          <w:rFonts w:hint="eastAsia" w:ascii="宋体" w:hAnsi="宋体" w:eastAsia="宋体" w:cs="宋体"/>
          <w:sz w:val="24"/>
          <w:szCs w:val="24"/>
        </w:rPr>
        <w:t>材料料管理流程图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_Toc6300 \h </w:instrText>
      </w:r>
      <w:r>
        <w:rPr>
          <w:rFonts w:hint="eastAsia" w:ascii="宋体" w:hAnsi="宋体" w:eastAsia="宋体" w:cs="宋体"/>
          <w:sz w:val="24"/>
          <w:szCs w:val="24"/>
        </w:rPr>
        <w:fldChar w:fldCharType="separate"/>
      </w:r>
      <w:r>
        <w:rPr>
          <w:rFonts w:hint="eastAsia" w:ascii="宋体" w:hAnsi="宋体" w:eastAsia="宋体" w:cs="宋体"/>
          <w:sz w:val="24"/>
          <w:szCs w:val="24"/>
        </w:rPr>
        <w:t>91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_Toc14609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第六章 </w:t>
      </w:r>
      <w:r>
        <w:rPr>
          <w:rFonts w:hint="eastAsia" w:ascii="宋体" w:hAnsi="宋体" w:eastAsia="宋体" w:cs="宋体"/>
          <w:sz w:val="24"/>
          <w:szCs w:val="24"/>
        </w:rPr>
        <w:t>调试验收与培训</w:t>
      </w:r>
      <w:r>
        <w:rPr>
          <w:rFonts w:hint="eastAsia" w:ascii="宋体" w:hAnsi="宋体" w:eastAsia="宋体" w:cs="宋体"/>
          <w:bCs w:val="0"/>
          <w:sz w:val="24"/>
          <w:szCs w:val="24"/>
        </w:rPr>
        <w:t>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_Toc14609 \h </w:instrText>
      </w:r>
      <w:r>
        <w:rPr>
          <w:rFonts w:hint="eastAsia" w:ascii="宋体" w:hAnsi="宋体" w:eastAsia="宋体" w:cs="宋体"/>
          <w:sz w:val="24"/>
          <w:szCs w:val="24"/>
        </w:rPr>
        <w:fldChar w:fldCharType="separate"/>
      </w:r>
      <w:r>
        <w:rPr>
          <w:rFonts w:hint="eastAsia" w:ascii="宋体" w:hAnsi="宋体" w:eastAsia="宋体" w:cs="宋体"/>
          <w:sz w:val="24"/>
          <w:szCs w:val="24"/>
        </w:rPr>
        <w:t>93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_Toc6694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第一节 系统调试与预验收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_Toc6694 \h </w:instrText>
      </w:r>
      <w:r>
        <w:rPr>
          <w:rFonts w:hint="eastAsia" w:ascii="宋体" w:hAnsi="宋体" w:eastAsia="宋体" w:cs="宋体"/>
          <w:sz w:val="24"/>
          <w:szCs w:val="24"/>
        </w:rPr>
        <w:fldChar w:fldCharType="separate"/>
      </w:r>
      <w:r>
        <w:rPr>
          <w:rFonts w:hint="eastAsia" w:ascii="宋体" w:hAnsi="宋体" w:eastAsia="宋体" w:cs="宋体"/>
          <w:sz w:val="24"/>
          <w:szCs w:val="24"/>
        </w:rPr>
        <w:t>93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_Toc23990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ascii="宋体" w:hAnsi="宋体" w:eastAsia="宋体" w:cs="宋体"/>
          <w:bCs w:val="0"/>
          <w:sz w:val="24"/>
          <w:szCs w:val="24"/>
        </w:rPr>
        <w:t>调试大纲与操作步骤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_Toc23990 \h </w:instrText>
      </w:r>
      <w:r>
        <w:rPr>
          <w:rFonts w:hint="eastAsia" w:ascii="宋体" w:hAnsi="宋体" w:eastAsia="宋体" w:cs="宋体"/>
          <w:sz w:val="24"/>
          <w:szCs w:val="24"/>
        </w:rPr>
        <w:fldChar w:fldCharType="separate"/>
      </w:r>
      <w:r>
        <w:rPr>
          <w:rFonts w:hint="eastAsia" w:ascii="宋体" w:hAnsi="宋体" w:eastAsia="宋体" w:cs="宋体"/>
          <w:sz w:val="24"/>
          <w:szCs w:val="24"/>
        </w:rPr>
        <w:t>93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_Toc5130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ascii="宋体" w:hAnsi="宋体" w:eastAsia="宋体" w:cs="宋体"/>
          <w:bCs w:val="0"/>
          <w:sz w:val="24"/>
          <w:szCs w:val="24"/>
        </w:rPr>
        <w:t>系统调试总体要求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_Toc5130 \h </w:instrText>
      </w:r>
      <w:r>
        <w:rPr>
          <w:rFonts w:hint="eastAsia" w:ascii="宋体" w:hAnsi="宋体" w:eastAsia="宋体" w:cs="宋体"/>
          <w:sz w:val="24"/>
          <w:szCs w:val="24"/>
        </w:rPr>
        <w:fldChar w:fldCharType="separate"/>
      </w:r>
      <w:r>
        <w:rPr>
          <w:rFonts w:hint="eastAsia" w:ascii="宋体" w:hAnsi="宋体" w:eastAsia="宋体" w:cs="宋体"/>
          <w:sz w:val="24"/>
          <w:szCs w:val="24"/>
        </w:rPr>
        <w:t>93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_Toc3507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1.3 </w:t>
      </w:r>
      <w:r>
        <w:rPr>
          <w:rFonts w:hint="eastAsia" w:ascii="宋体" w:hAnsi="宋体" w:eastAsia="宋体" w:cs="宋体"/>
          <w:bCs w:val="0"/>
          <w:sz w:val="24"/>
          <w:szCs w:val="24"/>
        </w:rPr>
        <w:t>系统预验收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_Toc3507 \h </w:instrText>
      </w:r>
      <w:r>
        <w:rPr>
          <w:rFonts w:hint="eastAsia" w:ascii="宋体" w:hAnsi="宋体" w:eastAsia="宋体" w:cs="宋体"/>
          <w:sz w:val="24"/>
          <w:szCs w:val="24"/>
        </w:rPr>
        <w:fldChar w:fldCharType="separate"/>
      </w:r>
      <w:r>
        <w:rPr>
          <w:rFonts w:hint="eastAsia" w:ascii="宋体" w:hAnsi="宋体" w:eastAsia="宋体" w:cs="宋体"/>
          <w:sz w:val="24"/>
          <w:szCs w:val="24"/>
        </w:rPr>
        <w:t>94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_Toc11197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第二节 系统试运行</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_Toc11197 \h </w:instrText>
      </w:r>
      <w:r>
        <w:rPr>
          <w:rFonts w:hint="eastAsia" w:ascii="宋体" w:hAnsi="宋体" w:eastAsia="宋体" w:cs="宋体"/>
          <w:sz w:val="24"/>
          <w:szCs w:val="24"/>
        </w:rPr>
        <w:fldChar w:fldCharType="separate"/>
      </w:r>
      <w:r>
        <w:rPr>
          <w:rFonts w:hint="eastAsia" w:ascii="宋体" w:hAnsi="宋体" w:eastAsia="宋体" w:cs="宋体"/>
          <w:sz w:val="24"/>
          <w:szCs w:val="24"/>
        </w:rPr>
        <w:t>95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_Toc19901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2.1 </w:t>
      </w:r>
      <w:r>
        <w:rPr>
          <w:rFonts w:hint="eastAsia" w:ascii="宋体" w:hAnsi="宋体" w:eastAsia="宋体" w:cs="宋体"/>
          <w:bCs w:val="0"/>
          <w:sz w:val="24"/>
          <w:szCs w:val="24"/>
        </w:rPr>
        <w:t>项目试运行实施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_Toc19901 \h </w:instrText>
      </w:r>
      <w:r>
        <w:rPr>
          <w:rFonts w:hint="eastAsia" w:ascii="宋体" w:hAnsi="宋体" w:eastAsia="宋体" w:cs="宋体"/>
          <w:sz w:val="24"/>
          <w:szCs w:val="24"/>
        </w:rPr>
        <w:fldChar w:fldCharType="separate"/>
      </w:r>
      <w:r>
        <w:rPr>
          <w:rFonts w:hint="eastAsia" w:ascii="宋体" w:hAnsi="宋体" w:eastAsia="宋体" w:cs="宋体"/>
          <w:sz w:val="24"/>
          <w:szCs w:val="24"/>
        </w:rPr>
        <w:t>95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_Toc23503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2.2 施工缺陷的修复</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_Toc23503 \h </w:instrText>
      </w:r>
      <w:r>
        <w:rPr>
          <w:rFonts w:hint="eastAsia" w:ascii="宋体" w:hAnsi="宋体" w:eastAsia="宋体" w:cs="宋体"/>
          <w:sz w:val="24"/>
          <w:szCs w:val="24"/>
        </w:rPr>
        <w:fldChar w:fldCharType="separate"/>
      </w:r>
      <w:r>
        <w:rPr>
          <w:rFonts w:hint="eastAsia" w:ascii="宋体" w:hAnsi="宋体" w:eastAsia="宋体" w:cs="宋体"/>
          <w:sz w:val="24"/>
          <w:szCs w:val="24"/>
        </w:rPr>
        <w:t>95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_Toc23573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第三节 系统竣工验收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_Toc23573 \h </w:instrText>
      </w:r>
      <w:r>
        <w:rPr>
          <w:rFonts w:hint="eastAsia" w:ascii="宋体" w:hAnsi="宋体" w:eastAsia="宋体" w:cs="宋体"/>
          <w:sz w:val="24"/>
          <w:szCs w:val="24"/>
        </w:rPr>
        <w:fldChar w:fldCharType="separate"/>
      </w:r>
      <w:r>
        <w:rPr>
          <w:rFonts w:hint="eastAsia" w:ascii="宋体" w:hAnsi="宋体" w:eastAsia="宋体" w:cs="宋体"/>
          <w:sz w:val="24"/>
          <w:szCs w:val="24"/>
        </w:rPr>
        <w:t>96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_Toc1989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 </w:t>
      </w:r>
      <w:r>
        <w:rPr>
          <w:rFonts w:hint="eastAsia" w:ascii="宋体" w:hAnsi="宋体" w:eastAsia="宋体" w:cs="宋体"/>
          <w:bCs w:val="0"/>
          <w:sz w:val="24"/>
          <w:szCs w:val="24"/>
        </w:rPr>
        <w:t>竣工验收申请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_Toc1989 \h </w:instrText>
      </w:r>
      <w:r>
        <w:rPr>
          <w:rFonts w:hint="eastAsia" w:ascii="宋体" w:hAnsi="宋体" w:eastAsia="宋体" w:cs="宋体"/>
          <w:sz w:val="24"/>
          <w:szCs w:val="24"/>
        </w:rPr>
        <w:fldChar w:fldCharType="separate"/>
      </w:r>
      <w:r>
        <w:rPr>
          <w:rFonts w:hint="eastAsia" w:ascii="宋体" w:hAnsi="宋体" w:eastAsia="宋体" w:cs="宋体"/>
          <w:sz w:val="24"/>
          <w:szCs w:val="24"/>
        </w:rPr>
        <w:t>96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_Toc15200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 </w:t>
      </w:r>
      <w:r>
        <w:rPr>
          <w:rFonts w:hint="eastAsia" w:ascii="宋体" w:hAnsi="宋体" w:eastAsia="宋体" w:cs="宋体"/>
          <w:bCs w:val="0"/>
          <w:sz w:val="24"/>
          <w:szCs w:val="24"/>
        </w:rPr>
        <w:t>单项工程验收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_Toc15200 \h </w:instrText>
      </w:r>
      <w:r>
        <w:rPr>
          <w:rFonts w:hint="eastAsia" w:ascii="宋体" w:hAnsi="宋体" w:eastAsia="宋体" w:cs="宋体"/>
          <w:sz w:val="24"/>
          <w:szCs w:val="24"/>
        </w:rPr>
        <w:fldChar w:fldCharType="separate"/>
      </w:r>
      <w:r>
        <w:rPr>
          <w:rFonts w:hint="eastAsia" w:ascii="宋体" w:hAnsi="宋体" w:eastAsia="宋体" w:cs="宋体"/>
          <w:sz w:val="24"/>
          <w:szCs w:val="24"/>
        </w:rPr>
        <w:t>97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_Toc2041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3.3 </w:t>
      </w:r>
      <w:r>
        <w:rPr>
          <w:rFonts w:hint="eastAsia" w:ascii="宋体" w:hAnsi="宋体" w:eastAsia="宋体" w:cs="宋体"/>
          <w:bCs w:val="0"/>
          <w:sz w:val="24"/>
          <w:szCs w:val="24"/>
        </w:rPr>
        <w:t>总体工程验收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_Toc2041 \h </w:instrText>
      </w:r>
      <w:r>
        <w:rPr>
          <w:rFonts w:hint="eastAsia" w:ascii="宋体" w:hAnsi="宋体" w:eastAsia="宋体" w:cs="宋体"/>
          <w:sz w:val="24"/>
          <w:szCs w:val="24"/>
        </w:rPr>
        <w:fldChar w:fldCharType="separate"/>
      </w:r>
      <w:r>
        <w:rPr>
          <w:rFonts w:hint="eastAsia" w:ascii="宋体" w:hAnsi="宋体" w:eastAsia="宋体" w:cs="宋体"/>
          <w:sz w:val="24"/>
          <w:szCs w:val="24"/>
        </w:rPr>
        <w:t>97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_Toc2460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第七章 </w:t>
      </w:r>
      <w:r>
        <w:rPr>
          <w:rFonts w:hint="eastAsia" w:ascii="宋体" w:hAnsi="宋体" w:eastAsia="宋体" w:cs="宋体"/>
          <w:sz w:val="24"/>
          <w:szCs w:val="24"/>
        </w:rPr>
        <w:t>培训计划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_Toc2460 \h </w:instrText>
      </w:r>
      <w:r>
        <w:rPr>
          <w:rFonts w:hint="eastAsia" w:ascii="宋体" w:hAnsi="宋体" w:eastAsia="宋体" w:cs="宋体"/>
          <w:sz w:val="24"/>
          <w:szCs w:val="24"/>
        </w:rPr>
        <w:fldChar w:fldCharType="separate"/>
      </w:r>
      <w:r>
        <w:rPr>
          <w:rFonts w:hint="eastAsia" w:ascii="宋体" w:hAnsi="宋体" w:eastAsia="宋体" w:cs="宋体"/>
          <w:sz w:val="24"/>
          <w:szCs w:val="24"/>
        </w:rPr>
        <w:t>99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_Toc13660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第一节 </w:t>
      </w:r>
      <w:r>
        <w:rPr>
          <w:rFonts w:hint="eastAsia" w:ascii="宋体" w:hAnsi="宋体" w:eastAsia="宋体" w:cs="宋体"/>
          <w:sz w:val="24"/>
          <w:szCs w:val="24"/>
        </w:rPr>
        <w:t>培训目的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_Toc13660 \h </w:instrText>
      </w:r>
      <w:r>
        <w:rPr>
          <w:rFonts w:hint="eastAsia" w:ascii="宋体" w:hAnsi="宋体" w:eastAsia="宋体" w:cs="宋体"/>
          <w:sz w:val="24"/>
          <w:szCs w:val="24"/>
        </w:rPr>
        <w:fldChar w:fldCharType="separate"/>
      </w:r>
      <w:r>
        <w:rPr>
          <w:rFonts w:hint="eastAsia" w:ascii="宋体" w:hAnsi="宋体" w:eastAsia="宋体" w:cs="宋体"/>
          <w:sz w:val="24"/>
          <w:szCs w:val="24"/>
        </w:rPr>
        <w:t>99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_Toc11090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第二节 操作手册</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_Toc11090 \h </w:instrText>
      </w:r>
      <w:r>
        <w:rPr>
          <w:rFonts w:hint="eastAsia" w:ascii="宋体" w:hAnsi="宋体" w:eastAsia="宋体" w:cs="宋体"/>
          <w:sz w:val="24"/>
          <w:szCs w:val="24"/>
        </w:rPr>
        <w:fldChar w:fldCharType="separate"/>
      </w:r>
      <w:r>
        <w:rPr>
          <w:rFonts w:hint="eastAsia" w:ascii="宋体" w:hAnsi="宋体" w:eastAsia="宋体" w:cs="宋体"/>
          <w:sz w:val="24"/>
          <w:szCs w:val="24"/>
        </w:rPr>
        <w:t>100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_Toc31810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第三节 培训计划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_Toc31810 \h </w:instrText>
      </w:r>
      <w:r>
        <w:rPr>
          <w:rFonts w:hint="eastAsia" w:ascii="宋体" w:hAnsi="宋体" w:eastAsia="宋体" w:cs="宋体"/>
          <w:sz w:val="24"/>
          <w:szCs w:val="24"/>
        </w:rPr>
        <w:fldChar w:fldCharType="separate"/>
      </w:r>
      <w:r>
        <w:rPr>
          <w:rFonts w:hint="eastAsia" w:ascii="宋体" w:hAnsi="宋体" w:eastAsia="宋体" w:cs="宋体"/>
          <w:sz w:val="24"/>
          <w:szCs w:val="24"/>
        </w:rPr>
        <w:t>100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_Toc21933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3.1 培训服务承诺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_Toc21933 \h </w:instrText>
      </w:r>
      <w:r>
        <w:rPr>
          <w:rFonts w:hint="eastAsia" w:ascii="宋体" w:hAnsi="宋体" w:eastAsia="宋体" w:cs="宋体"/>
          <w:sz w:val="24"/>
          <w:szCs w:val="24"/>
        </w:rPr>
        <w:fldChar w:fldCharType="separate"/>
      </w:r>
      <w:r>
        <w:rPr>
          <w:rFonts w:hint="eastAsia" w:ascii="宋体" w:hAnsi="宋体" w:eastAsia="宋体" w:cs="宋体"/>
          <w:sz w:val="24"/>
          <w:szCs w:val="24"/>
        </w:rPr>
        <w:t>100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_Toc30375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3.2 培训计划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_Toc30375 \h </w:instrText>
      </w:r>
      <w:r>
        <w:rPr>
          <w:rFonts w:hint="eastAsia" w:ascii="宋体" w:hAnsi="宋体" w:eastAsia="宋体" w:cs="宋体"/>
          <w:sz w:val="24"/>
          <w:szCs w:val="24"/>
        </w:rPr>
        <w:fldChar w:fldCharType="separate"/>
      </w:r>
      <w:r>
        <w:rPr>
          <w:rFonts w:hint="eastAsia" w:ascii="宋体" w:hAnsi="宋体" w:eastAsia="宋体" w:cs="宋体"/>
          <w:sz w:val="24"/>
          <w:szCs w:val="24"/>
        </w:rPr>
        <w:t>101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_Toc5684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3.2.1 培训要求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_Toc5684 \h </w:instrText>
      </w:r>
      <w:r>
        <w:rPr>
          <w:rFonts w:hint="eastAsia" w:ascii="宋体" w:hAnsi="宋体" w:eastAsia="宋体" w:cs="宋体"/>
          <w:sz w:val="24"/>
          <w:szCs w:val="24"/>
        </w:rPr>
        <w:fldChar w:fldCharType="separate"/>
      </w:r>
      <w:r>
        <w:rPr>
          <w:rFonts w:hint="eastAsia" w:ascii="宋体" w:hAnsi="宋体" w:eastAsia="宋体" w:cs="宋体"/>
          <w:sz w:val="24"/>
          <w:szCs w:val="24"/>
        </w:rPr>
        <w:t>101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_Toc20881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3.2.2 培训前与客户负责人沟通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_Toc20881 \h </w:instrText>
      </w:r>
      <w:r>
        <w:rPr>
          <w:rFonts w:hint="eastAsia" w:ascii="宋体" w:hAnsi="宋体" w:eastAsia="宋体" w:cs="宋体"/>
          <w:sz w:val="24"/>
          <w:szCs w:val="24"/>
        </w:rPr>
        <w:fldChar w:fldCharType="separate"/>
      </w:r>
      <w:r>
        <w:rPr>
          <w:rFonts w:hint="eastAsia" w:ascii="宋体" w:hAnsi="宋体" w:eastAsia="宋体" w:cs="宋体"/>
          <w:sz w:val="24"/>
          <w:szCs w:val="24"/>
        </w:rPr>
        <w:t>102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_Toc11550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3.2.3 项目实施培训方式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_Toc11550 \h </w:instrText>
      </w:r>
      <w:r>
        <w:rPr>
          <w:rFonts w:hint="eastAsia" w:ascii="宋体" w:hAnsi="宋体" w:eastAsia="宋体" w:cs="宋体"/>
          <w:sz w:val="24"/>
          <w:szCs w:val="24"/>
        </w:rPr>
        <w:fldChar w:fldCharType="separate"/>
      </w:r>
      <w:r>
        <w:rPr>
          <w:rFonts w:hint="eastAsia" w:ascii="宋体" w:hAnsi="宋体" w:eastAsia="宋体" w:cs="宋体"/>
          <w:sz w:val="24"/>
          <w:szCs w:val="24"/>
        </w:rPr>
        <w:t>102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_Toc7796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3.2.4 人员培训计划及师资配备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_Toc7796 \h </w:instrText>
      </w:r>
      <w:r>
        <w:rPr>
          <w:rFonts w:hint="eastAsia" w:ascii="宋体" w:hAnsi="宋体" w:eastAsia="宋体" w:cs="宋体"/>
          <w:sz w:val="24"/>
          <w:szCs w:val="24"/>
        </w:rPr>
        <w:fldChar w:fldCharType="separate"/>
      </w:r>
      <w:r>
        <w:rPr>
          <w:rFonts w:hint="eastAsia" w:ascii="宋体" w:hAnsi="宋体" w:eastAsia="宋体" w:cs="宋体"/>
          <w:sz w:val="24"/>
          <w:szCs w:val="24"/>
        </w:rPr>
        <w:t>103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_Toc30637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3.2.5 培训总结、答疑</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_Toc30637 \h </w:instrText>
      </w:r>
      <w:r>
        <w:rPr>
          <w:rFonts w:hint="eastAsia" w:ascii="宋体" w:hAnsi="宋体" w:eastAsia="宋体" w:cs="宋体"/>
          <w:sz w:val="24"/>
          <w:szCs w:val="24"/>
        </w:rPr>
        <w:fldChar w:fldCharType="separate"/>
      </w:r>
      <w:r>
        <w:rPr>
          <w:rFonts w:hint="eastAsia" w:ascii="宋体" w:hAnsi="宋体" w:eastAsia="宋体" w:cs="宋体"/>
          <w:sz w:val="24"/>
          <w:szCs w:val="24"/>
        </w:rPr>
        <w:t>105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_Toc30916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3.2.6 培训质量控制计划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_Toc30916 \h </w:instrText>
      </w:r>
      <w:r>
        <w:rPr>
          <w:rFonts w:hint="eastAsia" w:ascii="宋体" w:hAnsi="宋体" w:eastAsia="宋体" w:cs="宋体"/>
          <w:sz w:val="24"/>
          <w:szCs w:val="24"/>
        </w:rPr>
        <w:fldChar w:fldCharType="separate"/>
      </w:r>
      <w:r>
        <w:rPr>
          <w:rFonts w:hint="eastAsia" w:ascii="宋体" w:hAnsi="宋体" w:eastAsia="宋体" w:cs="宋体"/>
          <w:sz w:val="24"/>
          <w:szCs w:val="24"/>
        </w:rPr>
        <w:t>106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_Toc20971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3.2.7 常态化培训与考核</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_Toc20971 \h </w:instrText>
      </w:r>
      <w:r>
        <w:rPr>
          <w:rFonts w:hint="eastAsia" w:ascii="宋体" w:hAnsi="宋体" w:eastAsia="宋体" w:cs="宋体"/>
          <w:sz w:val="24"/>
          <w:szCs w:val="24"/>
        </w:rPr>
        <w:fldChar w:fldCharType="separate"/>
      </w:r>
      <w:r>
        <w:rPr>
          <w:rFonts w:hint="eastAsia" w:ascii="宋体" w:hAnsi="宋体" w:eastAsia="宋体" w:cs="宋体"/>
          <w:sz w:val="24"/>
          <w:szCs w:val="24"/>
        </w:rPr>
        <w:t>107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_Toc26910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第八章 </w:t>
      </w:r>
      <w:r>
        <w:rPr>
          <w:rFonts w:hint="eastAsia" w:ascii="宋体" w:hAnsi="宋体" w:eastAsia="宋体" w:cs="宋体"/>
          <w:sz w:val="24"/>
          <w:szCs w:val="24"/>
        </w:rPr>
        <w:t>售后服务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_Toc26910 \h </w:instrText>
      </w:r>
      <w:r>
        <w:rPr>
          <w:rFonts w:hint="eastAsia" w:ascii="宋体" w:hAnsi="宋体" w:eastAsia="宋体" w:cs="宋体"/>
          <w:sz w:val="24"/>
          <w:szCs w:val="24"/>
        </w:rPr>
        <w:fldChar w:fldCharType="separate"/>
      </w:r>
      <w:r>
        <w:rPr>
          <w:rFonts w:hint="eastAsia" w:ascii="宋体" w:hAnsi="宋体" w:eastAsia="宋体" w:cs="宋体"/>
          <w:sz w:val="24"/>
          <w:szCs w:val="24"/>
        </w:rPr>
        <w:t>108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_Toc31405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第一节 </w:t>
      </w:r>
      <w:r>
        <w:rPr>
          <w:rFonts w:hint="eastAsia" w:ascii="宋体" w:hAnsi="宋体" w:eastAsia="宋体" w:cs="宋体"/>
          <w:sz w:val="24"/>
          <w:szCs w:val="24"/>
        </w:rPr>
        <w:t>公司售后服务承诺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_Toc31405 \h </w:instrText>
      </w:r>
      <w:r>
        <w:rPr>
          <w:rFonts w:hint="eastAsia" w:ascii="宋体" w:hAnsi="宋体" w:eastAsia="宋体" w:cs="宋体"/>
          <w:sz w:val="24"/>
          <w:szCs w:val="24"/>
        </w:rPr>
        <w:fldChar w:fldCharType="separate"/>
      </w:r>
      <w:r>
        <w:rPr>
          <w:rFonts w:hint="eastAsia" w:ascii="宋体" w:hAnsi="宋体" w:eastAsia="宋体" w:cs="宋体"/>
          <w:sz w:val="24"/>
          <w:szCs w:val="24"/>
        </w:rPr>
        <w:t>108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_Toc11051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ascii="宋体" w:hAnsi="宋体" w:eastAsia="宋体" w:cs="宋体"/>
          <w:bCs w:val="0"/>
          <w:sz w:val="24"/>
          <w:szCs w:val="24"/>
          <w:lang w:val="en-US" w:eastAsia="zh-CN"/>
        </w:rPr>
        <w:t>售后服务承诺及响应</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_Toc11051 \h </w:instrText>
      </w:r>
      <w:r>
        <w:rPr>
          <w:rFonts w:hint="eastAsia" w:ascii="宋体" w:hAnsi="宋体" w:eastAsia="宋体" w:cs="宋体"/>
          <w:sz w:val="24"/>
          <w:szCs w:val="24"/>
        </w:rPr>
        <w:fldChar w:fldCharType="separate"/>
      </w:r>
      <w:r>
        <w:rPr>
          <w:rFonts w:hint="eastAsia" w:ascii="宋体" w:hAnsi="宋体" w:eastAsia="宋体" w:cs="宋体"/>
          <w:sz w:val="24"/>
          <w:szCs w:val="24"/>
        </w:rPr>
        <w:t>108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_Toc9805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ascii="宋体" w:hAnsi="宋体" w:eastAsia="宋体" w:cs="宋体"/>
          <w:bCs w:val="0"/>
          <w:sz w:val="24"/>
          <w:szCs w:val="24"/>
          <w:lang w:val="en-US" w:eastAsia="zh-CN"/>
        </w:rPr>
        <w:t>售后服务维护体系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_Toc9805 \h </w:instrText>
      </w:r>
      <w:r>
        <w:rPr>
          <w:rFonts w:hint="eastAsia" w:ascii="宋体" w:hAnsi="宋体" w:eastAsia="宋体" w:cs="宋体"/>
          <w:sz w:val="24"/>
          <w:szCs w:val="24"/>
        </w:rPr>
        <w:fldChar w:fldCharType="separate"/>
      </w:r>
      <w:r>
        <w:rPr>
          <w:rFonts w:hint="eastAsia" w:ascii="宋体" w:hAnsi="宋体" w:eastAsia="宋体" w:cs="宋体"/>
          <w:sz w:val="24"/>
          <w:szCs w:val="24"/>
        </w:rPr>
        <w:t>109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_Toc31066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1.3 市县镇三级本地化售后服务体系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_Toc31066 \h </w:instrText>
      </w:r>
      <w:r>
        <w:rPr>
          <w:rFonts w:hint="eastAsia" w:ascii="宋体" w:hAnsi="宋体" w:eastAsia="宋体" w:cs="宋体"/>
          <w:sz w:val="24"/>
          <w:szCs w:val="24"/>
        </w:rPr>
        <w:fldChar w:fldCharType="separate"/>
      </w:r>
      <w:r>
        <w:rPr>
          <w:rFonts w:hint="eastAsia" w:ascii="宋体" w:hAnsi="宋体" w:eastAsia="宋体" w:cs="宋体"/>
          <w:sz w:val="24"/>
          <w:szCs w:val="24"/>
        </w:rPr>
        <w:t>109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_Toc20802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1.4 市级售后服务团队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_Toc20802 \h </w:instrText>
      </w:r>
      <w:r>
        <w:rPr>
          <w:rFonts w:hint="eastAsia" w:ascii="宋体" w:hAnsi="宋体" w:eastAsia="宋体" w:cs="宋体"/>
          <w:sz w:val="24"/>
          <w:szCs w:val="24"/>
        </w:rPr>
        <w:fldChar w:fldCharType="separate"/>
      </w:r>
      <w:r>
        <w:rPr>
          <w:rFonts w:hint="eastAsia" w:ascii="宋体" w:hAnsi="宋体" w:eastAsia="宋体" w:cs="宋体"/>
          <w:sz w:val="24"/>
          <w:szCs w:val="24"/>
        </w:rPr>
        <w:t>109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_Toc29775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1.5 现场应急处理工作组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_Toc29775 \h </w:instrText>
      </w:r>
      <w:r>
        <w:rPr>
          <w:rFonts w:hint="eastAsia" w:ascii="宋体" w:hAnsi="宋体" w:eastAsia="宋体" w:cs="宋体"/>
          <w:sz w:val="24"/>
          <w:szCs w:val="24"/>
        </w:rPr>
        <w:fldChar w:fldCharType="separate"/>
      </w:r>
      <w:r>
        <w:rPr>
          <w:rFonts w:hint="eastAsia" w:ascii="宋体" w:hAnsi="宋体" w:eastAsia="宋体" w:cs="宋体"/>
          <w:sz w:val="24"/>
          <w:szCs w:val="24"/>
        </w:rPr>
        <w:t>110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_Toc28939 </w:instrText>
      </w:r>
      <w:r>
        <w:rPr>
          <w:rFonts w:hint="eastAsia" w:ascii="宋体" w:hAnsi="宋体" w:eastAsia="宋体" w:cs="宋体"/>
          <w:sz w:val="24"/>
          <w:szCs w:val="24"/>
        </w:rPr>
        <w:fldChar w:fldCharType="separate"/>
      </w:r>
      <w:r>
        <w:rPr>
          <w:rFonts w:hint="eastAsia" w:ascii="宋体" w:hAnsi="宋体" w:eastAsia="宋体" w:cs="宋体"/>
          <w:sz w:val="24"/>
          <w:szCs w:val="24"/>
        </w:rPr>
        <w:t>第二节 售后服务实施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_Toc28939 \h </w:instrText>
      </w:r>
      <w:r>
        <w:rPr>
          <w:rFonts w:hint="eastAsia" w:ascii="宋体" w:hAnsi="宋体" w:eastAsia="宋体" w:cs="宋体"/>
          <w:sz w:val="24"/>
          <w:szCs w:val="24"/>
        </w:rPr>
        <w:fldChar w:fldCharType="separate"/>
      </w:r>
      <w:r>
        <w:rPr>
          <w:rFonts w:hint="eastAsia" w:ascii="宋体" w:hAnsi="宋体" w:eastAsia="宋体" w:cs="宋体"/>
          <w:sz w:val="24"/>
          <w:szCs w:val="24"/>
        </w:rPr>
        <w:t>110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_Toc22170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 故障申告方式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_Toc22170 \h </w:instrText>
      </w:r>
      <w:r>
        <w:rPr>
          <w:rFonts w:hint="eastAsia" w:ascii="宋体" w:hAnsi="宋体" w:eastAsia="宋体" w:cs="宋体"/>
          <w:sz w:val="24"/>
          <w:szCs w:val="24"/>
        </w:rPr>
        <w:fldChar w:fldCharType="separate"/>
      </w:r>
      <w:r>
        <w:rPr>
          <w:rFonts w:hint="eastAsia" w:ascii="宋体" w:hAnsi="宋体" w:eastAsia="宋体" w:cs="宋体"/>
          <w:sz w:val="24"/>
          <w:szCs w:val="24"/>
        </w:rPr>
        <w:t>110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_Toc10839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2.2 应急响应</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_Toc10839 \h </w:instrText>
      </w:r>
      <w:r>
        <w:rPr>
          <w:rFonts w:hint="eastAsia" w:ascii="宋体" w:hAnsi="宋体" w:eastAsia="宋体" w:cs="宋体"/>
          <w:sz w:val="24"/>
          <w:szCs w:val="24"/>
        </w:rPr>
        <w:fldChar w:fldCharType="separate"/>
      </w:r>
      <w:r>
        <w:rPr>
          <w:rFonts w:hint="eastAsia" w:ascii="宋体" w:hAnsi="宋体" w:eastAsia="宋体" w:cs="宋体"/>
          <w:sz w:val="24"/>
          <w:szCs w:val="24"/>
        </w:rPr>
        <w:t>110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_Toc6867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2.3 应急保障制度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_Toc6867 \h </w:instrText>
      </w:r>
      <w:r>
        <w:rPr>
          <w:rFonts w:hint="eastAsia" w:ascii="宋体" w:hAnsi="宋体" w:eastAsia="宋体" w:cs="宋体"/>
          <w:sz w:val="24"/>
          <w:szCs w:val="24"/>
        </w:rPr>
        <w:fldChar w:fldCharType="separate"/>
      </w:r>
      <w:r>
        <w:rPr>
          <w:rFonts w:hint="eastAsia" w:ascii="宋体" w:hAnsi="宋体" w:eastAsia="宋体" w:cs="宋体"/>
          <w:sz w:val="24"/>
          <w:szCs w:val="24"/>
        </w:rPr>
        <w:t>111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_Toc23414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2.4 应急预案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_Toc23414 \h </w:instrText>
      </w:r>
      <w:r>
        <w:rPr>
          <w:rFonts w:hint="eastAsia" w:ascii="宋体" w:hAnsi="宋体" w:eastAsia="宋体" w:cs="宋体"/>
          <w:sz w:val="24"/>
          <w:szCs w:val="24"/>
        </w:rPr>
        <w:fldChar w:fldCharType="separate"/>
      </w:r>
      <w:r>
        <w:rPr>
          <w:rFonts w:hint="eastAsia" w:ascii="宋体" w:hAnsi="宋体" w:eastAsia="宋体" w:cs="宋体"/>
          <w:sz w:val="24"/>
          <w:szCs w:val="24"/>
        </w:rPr>
        <w:t>112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_Toc9148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2.5 应急处理程序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_Toc9148 \h </w:instrText>
      </w:r>
      <w:r>
        <w:rPr>
          <w:rFonts w:hint="eastAsia" w:ascii="宋体" w:hAnsi="宋体" w:eastAsia="宋体" w:cs="宋体"/>
          <w:sz w:val="24"/>
          <w:szCs w:val="24"/>
        </w:rPr>
        <w:fldChar w:fldCharType="separate"/>
      </w:r>
      <w:r>
        <w:rPr>
          <w:rFonts w:hint="eastAsia" w:ascii="宋体" w:hAnsi="宋体" w:eastAsia="宋体" w:cs="宋体"/>
          <w:sz w:val="24"/>
          <w:szCs w:val="24"/>
        </w:rPr>
        <w:t>113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_Toc11017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2.6 报告与总结</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_Toc11017 \h </w:instrText>
      </w:r>
      <w:r>
        <w:rPr>
          <w:rFonts w:hint="eastAsia" w:ascii="宋体" w:hAnsi="宋体" w:eastAsia="宋体" w:cs="宋体"/>
          <w:sz w:val="24"/>
          <w:szCs w:val="24"/>
        </w:rPr>
        <w:fldChar w:fldCharType="separate"/>
      </w:r>
      <w:r>
        <w:rPr>
          <w:rFonts w:hint="eastAsia" w:ascii="宋体" w:hAnsi="宋体" w:eastAsia="宋体" w:cs="宋体"/>
          <w:sz w:val="24"/>
          <w:szCs w:val="24"/>
        </w:rPr>
        <w:t>117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_Toc14515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2.7 责任与奖惩</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_Toc14515 \h </w:instrText>
      </w:r>
      <w:r>
        <w:rPr>
          <w:rFonts w:hint="eastAsia" w:ascii="宋体" w:hAnsi="宋体" w:eastAsia="宋体" w:cs="宋体"/>
          <w:sz w:val="24"/>
          <w:szCs w:val="24"/>
        </w:rPr>
        <w:fldChar w:fldCharType="separate"/>
      </w:r>
      <w:r>
        <w:rPr>
          <w:rFonts w:hint="eastAsia" w:ascii="宋体" w:hAnsi="宋体" w:eastAsia="宋体" w:cs="宋体"/>
          <w:sz w:val="24"/>
          <w:szCs w:val="24"/>
        </w:rPr>
        <w:t>117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_Toc6453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2.8 其他保障措施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_Toc6453 \h </w:instrText>
      </w:r>
      <w:r>
        <w:rPr>
          <w:rFonts w:hint="eastAsia" w:ascii="宋体" w:hAnsi="宋体" w:eastAsia="宋体" w:cs="宋体"/>
          <w:sz w:val="24"/>
          <w:szCs w:val="24"/>
        </w:rPr>
        <w:fldChar w:fldCharType="separate"/>
      </w:r>
      <w:r>
        <w:rPr>
          <w:rFonts w:hint="eastAsia" w:ascii="宋体" w:hAnsi="宋体" w:eastAsia="宋体" w:cs="宋体"/>
          <w:sz w:val="24"/>
          <w:szCs w:val="24"/>
        </w:rPr>
        <w:t>118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_Toc16026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2.9 电话技术支持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_Toc16026 \h </w:instrText>
      </w:r>
      <w:r>
        <w:rPr>
          <w:rFonts w:hint="eastAsia" w:ascii="宋体" w:hAnsi="宋体" w:eastAsia="宋体" w:cs="宋体"/>
          <w:sz w:val="24"/>
          <w:szCs w:val="24"/>
        </w:rPr>
        <w:fldChar w:fldCharType="separate"/>
      </w:r>
      <w:r>
        <w:rPr>
          <w:rFonts w:hint="eastAsia" w:ascii="宋体" w:hAnsi="宋体" w:eastAsia="宋体" w:cs="宋体"/>
          <w:sz w:val="24"/>
          <w:szCs w:val="24"/>
        </w:rPr>
        <w:t>119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_Toc3933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2.10 远程故障诊断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_Toc3933 \h </w:instrText>
      </w:r>
      <w:r>
        <w:rPr>
          <w:rFonts w:hint="eastAsia" w:ascii="宋体" w:hAnsi="宋体" w:eastAsia="宋体" w:cs="宋体"/>
          <w:sz w:val="24"/>
          <w:szCs w:val="24"/>
        </w:rPr>
        <w:fldChar w:fldCharType="separate"/>
      </w:r>
      <w:r>
        <w:rPr>
          <w:rFonts w:hint="eastAsia" w:ascii="宋体" w:hAnsi="宋体" w:eastAsia="宋体" w:cs="宋体"/>
          <w:sz w:val="24"/>
          <w:szCs w:val="24"/>
        </w:rPr>
        <w:t>119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_Toc22827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2.11 现场故障排除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_Toc22827 \h </w:instrText>
      </w:r>
      <w:r>
        <w:rPr>
          <w:rFonts w:hint="eastAsia" w:ascii="宋体" w:hAnsi="宋体" w:eastAsia="宋体" w:cs="宋体"/>
          <w:sz w:val="24"/>
          <w:szCs w:val="24"/>
        </w:rPr>
        <w:fldChar w:fldCharType="separate"/>
      </w:r>
      <w:r>
        <w:rPr>
          <w:rFonts w:hint="eastAsia" w:ascii="宋体" w:hAnsi="宋体" w:eastAsia="宋体" w:cs="宋体"/>
          <w:sz w:val="24"/>
          <w:szCs w:val="24"/>
        </w:rPr>
        <w:t>119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_Toc2733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2.12 硬件故障修复</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_Toc2733 \h </w:instrText>
      </w:r>
      <w:r>
        <w:rPr>
          <w:rFonts w:hint="eastAsia" w:ascii="宋体" w:hAnsi="宋体" w:eastAsia="宋体" w:cs="宋体"/>
          <w:sz w:val="24"/>
          <w:szCs w:val="24"/>
        </w:rPr>
        <w:fldChar w:fldCharType="separate"/>
      </w:r>
      <w:r>
        <w:rPr>
          <w:rFonts w:hint="eastAsia" w:ascii="宋体" w:hAnsi="宋体" w:eastAsia="宋体" w:cs="宋体"/>
          <w:sz w:val="24"/>
          <w:szCs w:val="24"/>
        </w:rPr>
        <w:t>119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_Toc16343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2.13 维修方案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_Toc16343 \h </w:instrText>
      </w:r>
      <w:r>
        <w:rPr>
          <w:rFonts w:hint="eastAsia" w:ascii="宋体" w:hAnsi="宋体" w:eastAsia="宋体" w:cs="宋体"/>
          <w:sz w:val="24"/>
          <w:szCs w:val="24"/>
        </w:rPr>
        <w:fldChar w:fldCharType="separate"/>
      </w:r>
      <w:r>
        <w:rPr>
          <w:rFonts w:hint="eastAsia" w:ascii="宋体" w:hAnsi="宋体" w:eastAsia="宋体" w:cs="宋体"/>
          <w:sz w:val="24"/>
          <w:szCs w:val="24"/>
        </w:rPr>
        <w:t>119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_Toc8187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2.14 备件替换</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_Toc8187 \h </w:instrText>
      </w:r>
      <w:r>
        <w:rPr>
          <w:rFonts w:hint="eastAsia" w:ascii="宋体" w:hAnsi="宋体" w:eastAsia="宋体" w:cs="宋体"/>
          <w:sz w:val="24"/>
          <w:szCs w:val="24"/>
        </w:rPr>
        <w:fldChar w:fldCharType="separate"/>
      </w:r>
      <w:r>
        <w:rPr>
          <w:rFonts w:hint="eastAsia" w:ascii="宋体" w:hAnsi="宋体" w:eastAsia="宋体" w:cs="宋体"/>
          <w:sz w:val="24"/>
          <w:szCs w:val="24"/>
        </w:rPr>
        <w:t>120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_Toc10904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2.15 软件升级</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_Toc10904 \h </w:instrText>
      </w:r>
      <w:r>
        <w:rPr>
          <w:rFonts w:hint="eastAsia" w:ascii="宋体" w:hAnsi="宋体" w:eastAsia="宋体" w:cs="宋体"/>
          <w:sz w:val="24"/>
          <w:szCs w:val="24"/>
        </w:rPr>
        <w:fldChar w:fldCharType="separate"/>
      </w:r>
      <w:r>
        <w:rPr>
          <w:rFonts w:hint="eastAsia" w:ascii="宋体" w:hAnsi="宋体" w:eastAsia="宋体" w:cs="宋体"/>
          <w:sz w:val="24"/>
          <w:szCs w:val="24"/>
        </w:rPr>
        <w:t>120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_Toc19410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2.16 现场巡检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_Toc19410 \h </w:instrText>
      </w:r>
      <w:r>
        <w:rPr>
          <w:rFonts w:hint="eastAsia" w:ascii="宋体" w:hAnsi="宋体" w:eastAsia="宋体" w:cs="宋体"/>
          <w:sz w:val="24"/>
          <w:szCs w:val="24"/>
        </w:rPr>
        <w:fldChar w:fldCharType="separate"/>
      </w:r>
      <w:r>
        <w:rPr>
          <w:rFonts w:hint="eastAsia" w:ascii="宋体" w:hAnsi="宋体" w:eastAsia="宋体" w:cs="宋体"/>
          <w:sz w:val="24"/>
          <w:szCs w:val="24"/>
        </w:rPr>
        <w:t>120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_Toc7780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2.17 维护服务监督</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_Toc7780 \h </w:instrText>
      </w:r>
      <w:r>
        <w:rPr>
          <w:rFonts w:hint="eastAsia" w:ascii="宋体" w:hAnsi="宋体" w:eastAsia="宋体" w:cs="宋体"/>
          <w:sz w:val="24"/>
          <w:szCs w:val="24"/>
        </w:rPr>
        <w:fldChar w:fldCharType="separate"/>
      </w:r>
      <w:r>
        <w:rPr>
          <w:rFonts w:hint="eastAsia" w:ascii="宋体" w:hAnsi="宋体" w:eastAsia="宋体" w:cs="宋体"/>
          <w:sz w:val="24"/>
          <w:szCs w:val="24"/>
        </w:rPr>
        <w:t>122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8"/>
        <w:tabs>
          <w:tab w:val="right" w:leader="dot" w:pos="8312"/>
          <w:tab w:val="clear" w:pos="1050"/>
          <w:tab w:val="clear"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_Toc22427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第九章 </w:t>
      </w:r>
      <w:r>
        <w:rPr>
          <w:rFonts w:hint="eastAsia" w:ascii="宋体" w:hAnsi="宋体" w:eastAsia="宋体" w:cs="宋体"/>
          <w:sz w:val="24"/>
          <w:szCs w:val="24"/>
          <w:lang w:val="en-US" w:eastAsia="zh-CN"/>
        </w:rPr>
        <w:t>安全文明生产方案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_Toc22427 \h </w:instrText>
      </w:r>
      <w:r>
        <w:rPr>
          <w:rFonts w:hint="eastAsia" w:ascii="宋体" w:hAnsi="宋体" w:eastAsia="宋体" w:cs="宋体"/>
          <w:sz w:val="24"/>
          <w:szCs w:val="24"/>
        </w:rPr>
        <w:fldChar w:fldCharType="separate"/>
      </w:r>
      <w:r>
        <w:rPr>
          <w:rFonts w:hint="eastAsia" w:ascii="宋体" w:hAnsi="宋体" w:eastAsia="宋体" w:cs="宋体"/>
          <w:sz w:val="24"/>
          <w:szCs w:val="24"/>
        </w:rPr>
        <w:t>123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_Toc24098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第一节 施工安全目标</w:t>
      </w:r>
      <w:r>
        <w:rPr>
          <w:rFonts w:hint="eastAsia" w:ascii="宋体" w:hAnsi="宋体" w:eastAsia="宋体" w:cs="宋体"/>
          <w:bCs w:val="0"/>
          <w:sz w:val="24"/>
          <w:szCs w:val="24"/>
          <w:lang w:val="en-US" w:eastAsia="zh-CN"/>
        </w:rPr>
        <w:t>及保障措施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_Toc24098 \h </w:instrText>
      </w:r>
      <w:r>
        <w:rPr>
          <w:rFonts w:hint="eastAsia" w:ascii="宋体" w:hAnsi="宋体" w:eastAsia="宋体" w:cs="宋体"/>
          <w:sz w:val="24"/>
          <w:szCs w:val="24"/>
        </w:rPr>
        <w:fldChar w:fldCharType="separate"/>
      </w:r>
      <w:r>
        <w:rPr>
          <w:rFonts w:hint="eastAsia" w:ascii="宋体" w:hAnsi="宋体" w:eastAsia="宋体" w:cs="宋体"/>
          <w:sz w:val="24"/>
          <w:szCs w:val="24"/>
        </w:rPr>
        <w:t>123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_Toc9533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ascii="宋体" w:hAnsi="宋体" w:eastAsia="宋体" w:cs="宋体"/>
          <w:bCs w:val="0"/>
          <w:sz w:val="24"/>
          <w:szCs w:val="24"/>
          <w:lang w:val="en-US" w:eastAsia="zh-CN"/>
        </w:rPr>
        <w:t>施工安全目标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_Toc9533 \h </w:instrText>
      </w:r>
      <w:r>
        <w:rPr>
          <w:rFonts w:hint="eastAsia" w:ascii="宋体" w:hAnsi="宋体" w:eastAsia="宋体" w:cs="宋体"/>
          <w:sz w:val="24"/>
          <w:szCs w:val="24"/>
        </w:rPr>
        <w:fldChar w:fldCharType="separate"/>
      </w:r>
      <w:r>
        <w:rPr>
          <w:rFonts w:hint="eastAsia" w:ascii="宋体" w:hAnsi="宋体" w:eastAsia="宋体" w:cs="宋体"/>
          <w:sz w:val="24"/>
          <w:szCs w:val="24"/>
        </w:rPr>
        <w:t>123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_Toc11337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1.2 施工安全组织保证措施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_Toc11337 \h </w:instrText>
      </w:r>
      <w:r>
        <w:rPr>
          <w:rFonts w:hint="eastAsia" w:ascii="宋体" w:hAnsi="宋体" w:eastAsia="宋体" w:cs="宋体"/>
          <w:sz w:val="24"/>
          <w:szCs w:val="24"/>
        </w:rPr>
        <w:fldChar w:fldCharType="separate"/>
      </w:r>
      <w:r>
        <w:rPr>
          <w:rFonts w:hint="eastAsia" w:ascii="宋体" w:hAnsi="宋体" w:eastAsia="宋体" w:cs="宋体"/>
          <w:sz w:val="24"/>
          <w:szCs w:val="24"/>
        </w:rPr>
        <w:t>123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_Toc31930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1.3 施工安全技术证措施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_Toc31930 \h </w:instrText>
      </w:r>
      <w:r>
        <w:rPr>
          <w:rFonts w:hint="eastAsia" w:ascii="宋体" w:hAnsi="宋体" w:eastAsia="宋体" w:cs="宋体"/>
          <w:sz w:val="24"/>
          <w:szCs w:val="24"/>
        </w:rPr>
        <w:fldChar w:fldCharType="separate"/>
      </w:r>
      <w:r>
        <w:rPr>
          <w:rFonts w:hint="eastAsia" w:ascii="宋体" w:hAnsi="宋体" w:eastAsia="宋体" w:cs="宋体"/>
          <w:sz w:val="24"/>
          <w:szCs w:val="24"/>
        </w:rPr>
        <w:t>124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_Toc10909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第二节 </w:t>
      </w:r>
      <w:r>
        <w:rPr>
          <w:rFonts w:hint="eastAsia" w:ascii="宋体" w:hAnsi="宋体" w:eastAsia="宋体" w:cs="宋体"/>
          <w:bCs w:val="0"/>
          <w:sz w:val="24"/>
          <w:szCs w:val="24"/>
        </w:rPr>
        <w:t>文明施工</w:t>
      </w:r>
      <w:r>
        <w:rPr>
          <w:rFonts w:hint="eastAsia" w:ascii="宋体" w:hAnsi="宋体" w:eastAsia="宋体" w:cs="宋体"/>
          <w:bCs w:val="0"/>
          <w:sz w:val="24"/>
          <w:szCs w:val="24"/>
          <w:lang w:val="en-US" w:eastAsia="zh-CN"/>
        </w:rPr>
        <w:t>及</w:t>
      </w:r>
      <w:r>
        <w:rPr>
          <w:rFonts w:hint="eastAsia" w:ascii="宋体" w:hAnsi="宋体" w:eastAsia="宋体" w:cs="宋体"/>
          <w:bCs w:val="0"/>
          <w:sz w:val="24"/>
          <w:szCs w:val="24"/>
        </w:rPr>
        <w:t>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_Toc10909 \h </w:instrText>
      </w:r>
      <w:r>
        <w:rPr>
          <w:rFonts w:hint="eastAsia" w:ascii="宋体" w:hAnsi="宋体" w:eastAsia="宋体" w:cs="宋体"/>
          <w:sz w:val="24"/>
          <w:szCs w:val="24"/>
        </w:rPr>
        <w:fldChar w:fldCharType="separate"/>
      </w:r>
      <w:r>
        <w:rPr>
          <w:rFonts w:hint="eastAsia" w:ascii="宋体" w:hAnsi="宋体" w:eastAsia="宋体" w:cs="宋体"/>
          <w:sz w:val="24"/>
          <w:szCs w:val="24"/>
        </w:rPr>
        <w:t>130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_Toc4992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2.1 文明施工的意义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_Toc4992 \h </w:instrText>
      </w:r>
      <w:r>
        <w:rPr>
          <w:rFonts w:hint="eastAsia" w:ascii="宋体" w:hAnsi="宋体" w:eastAsia="宋体" w:cs="宋体"/>
          <w:sz w:val="24"/>
          <w:szCs w:val="24"/>
        </w:rPr>
        <w:fldChar w:fldCharType="separate"/>
      </w:r>
      <w:r>
        <w:rPr>
          <w:rFonts w:hint="eastAsia" w:ascii="宋体" w:hAnsi="宋体" w:eastAsia="宋体" w:cs="宋体"/>
          <w:sz w:val="24"/>
          <w:szCs w:val="24"/>
        </w:rPr>
        <w:t>130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_Toc20642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2.2 文明施工目标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_Toc20642 \h </w:instrText>
      </w:r>
      <w:r>
        <w:rPr>
          <w:rFonts w:hint="eastAsia" w:ascii="宋体" w:hAnsi="宋体" w:eastAsia="宋体" w:cs="宋体"/>
          <w:sz w:val="24"/>
          <w:szCs w:val="24"/>
        </w:rPr>
        <w:fldChar w:fldCharType="separate"/>
      </w:r>
      <w:r>
        <w:rPr>
          <w:rFonts w:hint="eastAsia" w:ascii="宋体" w:hAnsi="宋体" w:eastAsia="宋体" w:cs="宋体"/>
          <w:sz w:val="24"/>
          <w:szCs w:val="24"/>
        </w:rPr>
        <w:t>130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_Toc913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2.3 文明施工组织管理机构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_Toc913 \h </w:instrText>
      </w:r>
      <w:r>
        <w:rPr>
          <w:rFonts w:hint="eastAsia" w:ascii="宋体" w:hAnsi="宋体" w:eastAsia="宋体" w:cs="宋体"/>
          <w:sz w:val="24"/>
          <w:szCs w:val="24"/>
        </w:rPr>
        <w:fldChar w:fldCharType="separate"/>
      </w:r>
      <w:r>
        <w:rPr>
          <w:rFonts w:hint="eastAsia" w:ascii="宋体" w:hAnsi="宋体" w:eastAsia="宋体" w:cs="宋体"/>
          <w:sz w:val="24"/>
          <w:szCs w:val="24"/>
        </w:rPr>
        <w:t>130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_Toc30385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2.3.1 文明施工组织管理机构构成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_Toc30385 \h </w:instrText>
      </w:r>
      <w:r>
        <w:rPr>
          <w:rFonts w:hint="eastAsia" w:ascii="宋体" w:hAnsi="宋体" w:eastAsia="宋体" w:cs="宋体"/>
          <w:sz w:val="24"/>
          <w:szCs w:val="24"/>
        </w:rPr>
        <w:fldChar w:fldCharType="separate"/>
      </w:r>
      <w:r>
        <w:rPr>
          <w:rFonts w:hint="eastAsia" w:ascii="宋体" w:hAnsi="宋体" w:eastAsia="宋体" w:cs="宋体"/>
          <w:sz w:val="24"/>
          <w:szCs w:val="24"/>
        </w:rPr>
        <w:t>131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_Toc22710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2.3.2 建立和完善文明施工的各项管理制度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_Toc22710 \h </w:instrText>
      </w:r>
      <w:r>
        <w:rPr>
          <w:rFonts w:hint="eastAsia" w:ascii="宋体" w:hAnsi="宋体" w:eastAsia="宋体" w:cs="宋体"/>
          <w:sz w:val="24"/>
          <w:szCs w:val="24"/>
        </w:rPr>
        <w:fldChar w:fldCharType="separate"/>
      </w:r>
      <w:r>
        <w:rPr>
          <w:rFonts w:hint="eastAsia" w:ascii="宋体" w:hAnsi="宋体" w:eastAsia="宋体" w:cs="宋体"/>
          <w:sz w:val="24"/>
          <w:szCs w:val="24"/>
        </w:rPr>
        <w:t>131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4"/>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_Toc8935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2.4 文明施工及环境管理保证措施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_Toc8935 \h </w:instrText>
      </w:r>
      <w:r>
        <w:rPr>
          <w:rFonts w:hint="eastAsia" w:ascii="宋体" w:hAnsi="宋体" w:eastAsia="宋体" w:cs="宋体"/>
          <w:sz w:val="24"/>
          <w:szCs w:val="24"/>
        </w:rPr>
        <w:fldChar w:fldCharType="separate"/>
      </w:r>
      <w:r>
        <w:rPr>
          <w:rFonts w:hint="eastAsia" w:ascii="宋体" w:hAnsi="宋体" w:eastAsia="宋体" w:cs="宋体"/>
          <w:sz w:val="24"/>
          <w:szCs w:val="24"/>
        </w:rPr>
        <w:t>132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_Toc19527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2.4.1 文明施工及环境管理保证通用措施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_Toc19527 \h </w:instrText>
      </w:r>
      <w:r>
        <w:rPr>
          <w:rFonts w:hint="eastAsia" w:ascii="宋体" w:hAnsi="宋体" w:eastAsia="宋体" w:cs="宋体"/>
          <w:sz w:val="24"/>
          <w:szCs w:val="24"/>
        </w:rPr>
        <w:fldChar w:fldCharType="separate"/>
      </w:r>
      <w:r>
        <w:rPr>
          <w:rFonts w:hint="eastAsia" w:ascii="宋体" w:hAnsi="宋体" w:eastAsia="宋体" w:cs="宋体"/>
          <w:sz w:val="24"/>
          <w:szCs w:val="24"/>
        </w:rPr>
        <w:t>132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_Toc28217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2.4.2 文明施工及环境管理保证具体措施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_Toc28217 \h </w:instrText>
      </w:r>
      <w:r>
        <w:rPr>
          <w:rFonts w:hint="eastAsia" w:ascii="宋体" w:hAnsi="宋体" w:eastAsia="宋体" w:cs="宋体"/>
          <w:sz w:val="24"/>
          <w:szCs w:val="24"/>
        </w:rPr>
        <w:fldChar w:fldCharType="separate"/>
      </w:r>
      <w:r>
        <w:rPr>
          <w:rFonts w:hint="eastAsia" w:ascii="宋体" w:hAnsi="宋体" w:eastAsia="宋体" w:cs="宋体"/>
          <w:sz w:val="24"/>
          <w:szCs w:val="24"/>
        </w:rPr>
        <w:t>132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831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_Toc19550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2.4.3 环境保护具体措施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_Toc19550 \h </w:instrText>
      </w:r>
      <w:r>
        <w:rPr>
          <w:rFonts w:hint="eastAsia" w:ascii="宋体" w:hAnsi="宋体" w:eastAsia="宋体" w:cs="宋体"/>
          <w:sz w:val="24"/>
          <w:szCs w:val="24"/>
        </w:rPr>
        <w:fldChar w:fldCharType="separate"/>
      </w:r>
      <w:r>
        <w:rPr>
          <w:rFonts w:hint="eastAsia" w:ascii="宋体" w:hAnsi="宋体" w:eastAsia="宋体" w:cs="宋体"/>
          <w:sz w:val="24"/>
          <w:szCs w:val="24"/>
        </w:rPr>
        <w:t>135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r>
        <w:rPr>
          <w:rFonts w:hint="eastAsia" w:ascii="宋体" w:hAnsi="宋体" w:eastAsia="宋体" w:cs="宋体"/>
          <w:sz w:val="24"/>
          <w:szCs w:val="24"/>
        </w:rPr>
        <w:fldChar w:fldCharType="end"/>
      </w:r>
    </w:p>
    <w:p>
      <w:pPr>
        <w:outlineLvl w:val="4"/>
        <w:rPr>
          <w:rFonts w:hint="eastAsia" w:ascii="宋体" w:hAnsi="宋体"/>
          <w:sz w:val="24"/>
          <w:szCs w:val="24"/>
        </w:rPr>
      </w:pPr>
      <w:r>
        <w:rPr>
          <w:rFonts w:hint="eastAsia" w:ascii="宋体" w:hAnsi="宋体"/>
          <w:sz w:val="24"/>
          <w:szCs w:val="24"/>
        </w:rPr>
        <w:br w:type="page"/>
      </w:r>
    </w:p>
    <w:p>
      <w:pPr>
        <w:pStyle w:val="2"/>
        <w:numPr>
          <w:ilvl w:val="0"/>
          <w:numId w:val="2"/>
        </w:numPr>
        <w:jc w:val="center"/>
        <w:rPr>
          <w:rFonts w:hint="eastAsia" w:ascii="宋体" w:hAnsi="宋体"/>
          <w:sz w:val="32"/>
          <w:szCs w:val="32"/>
        </w:rPr>
      </w:pPr>
      <w:bookmarkStart w:id="0" w:name="_Toc8558"/>
      <w:bookmarkStart w:id="1" w:name="_Toc31390"/>
      <w:bookmarkStart w:id="2" w:name="_Toc484"/>
      <w:bookmarkStart w:id="3" w:name="_Toc384"/>
      <w:bookmarkStart w:id="4" w:name="_Toc24495"/>
      <w:r>
        <w:rPr>
          <w:rFonts w:hint="eastAsia" w:ascii="宋体" w:hAnsi="宋体"/>
          <w:sz w:val="32"/>
          <w:szCs w:val="32"/>
        </w:rPr>
        <w:t>编制说明与工程概况</w:t>
      </w:r>
      <w:bookmarkEnd w:id="0"/>
      <w:bookmarkEnd w:id="1"/>
      <w:bookmarkEnd w:id="2"/>
      <w:bookmarkEnd w:id="3"/>
      <w:bookmarkEnd w:id="4"/>
    </w:p>
    <w:p>
      <w:pPr>
        <w:pStyle w:val="3"/>
        <w:numPr>
          <w:ilvl w:val="1"/>
          <w:numId w:val="2"/>
        </w:numPr>
        <w:rPr>
          <w:rFonts w:hint="eastAsia" w:ascii="宋体" w:hAnsi="宋体" w:eastAsia="宋体"/>
          <w:sz w:val="30"/>
          <w:szCs w:val="30"/>
        </w:rPr>
      </w:pPr>
      <w:bookmarkStart w:id="5" w:name="_Toc4210"/>
      <w:bookmarkStart w:id="6" w:name="_Toc27231"/>
      <w:bookmarkStart w:id="7" w:name="_Toc15851"/>
      <w:bookmarkStart w:id="8" w:name="_Toc24859"/>
      <w:bookmarkStart w:id="9" w:name="_Toc16676"/>
      <w:r>
        <w:rPr>
          <w:rFonts w:hint="eastAsia" w:ascii="宋体" w:hAnsi="宋体" w:eastAsia="宋体"/>
          <w:sz w:val="30"/>
          <w:szCs w:val="30"/>
        </w:rPr>
        <w:t>编制说明</w:t>
      </w:r>
      <w:bookmarkEnd w:id="5"/>
      <w:bookmarkEnd w:id="6"/>
      <w:bookmarkEnd w:id="7"/>
      <w:bookmarkEnd w:id="8"/>
      <w:bookmarkEnd w:id="9"/>
    </w:p>
    <w:p>
      <w:pPr>
        <w:pStyle w:val="4"/>
        <w:numPr>
          <w:ilvl w:val="1"/>
          <w:numId w:val="3"/>
        </w:numPr>
        <w:rPr>
          <w:rFonts w:hint="eastAsia" w:ascii="宋体" w:hAnsi="宋体"/>
          <w:sz w:val="28"/>
          <w:szCs w:val="28"/>
        </w:rPr>
      </w:pPr>
      <w:bookmarkStart w:id="10" w:name="_Toc1825"/>
      <w:bookmarkStart w:id="11" w:name="_Toc22309"/>
      <w:bookmarkStart w:id="12" w:name="_Toc13081"/>
      <w:bookmarkStart w:id="13" w:name="_Toc19587"/>
      <w:bookmarkStart w:id="14" w:name="_Toc28456"/>
      <w:r>
        <w:rPr>
          <w:rFonts w:hint="eastAsia" w:ascii="宋体" w:hAnsi="宋体"/>
          <w:sz w:val="28"/>
          <w:szCs w:val="28"/>
        </w:rPr>
        <w:t>编制</w:t>
      </w:r>
      <w:r>
        <w:rPr>
          <w:rFonts w:hint="eastAsia" w:ascii="宋体" w:hAnsi="宋体"/>
          <w:sz w:val="28"/>
          <w:szCs w:val="28"/>
          <w:lang w:val="en-US" w:eastAsia="zh-CN"/>
        </w:rPr>
        <w:t>说明</w:t>
      </w:r>
      <w:bookmarkEnd w:id="10"/>
      <w:bookmarkEnd w:id="11"/>
      <w:bookmarkEnd w:id="12"/>
      <w:bookmarkEnd w:id="13"/>
      <w:bookmarkEnd w:id="14"/>
    </w:p>
    <w:p>
      <w:pPr>
        <w:spacing w:line="360" w:lineRule="auto"/>
        <w:ind w:firstLine="480" w:firstLineChars="200"/>
        <w:rPr>
          <w:rFonts w:hint="eastAsia" w:ascii="宋体" w:hAnsi="宋体"/>
          <w:sz w:val="24"/>
        </w:rPr>
      </w:pPr>
      <w:r>
        <w:rPr>
          <w:rFonts w:hint="eastAsia" w:ascii="宋体" w:hAnsi="宋体"/>
          <w:sz w:val="24"/>
        </w:rPr>
        <w:t>本次工程施工组织设计的编制原则是： 以高质量、高标准为目标， 合理的安排施工工序 和施工进度， 以现有设计文件为基础， 结合现场调查资料， 重点突出工序、工期安排， 细化 系统安装、调试等工程。</w:t>
      </w:r>
    </w:p>
    <w:p>
      <w:pPr>
        <w:spacing w:line="360" w:lineRule="auto"/>
        <w:ind w:firstLine="480" w:firstLineChars="200"/>
        <w:rPr>
          <w:rFonts w:hint="eastAsia" w:ascii="宋体" w:hAnsi="宋体"/>
          <w:sz w:val="24"/>
        </w:rPr>
      </w:pPr>
      <w:r>
        <w:rPr>
          <w:rFonts w:hint="eastAsia" w:ascii="宋体" w:hAnsi="宋体"/>
          <w:sz w:val="24"/>
        </w:rPr>
        <w:t>本施工组织设计作为指导施工的依据，编制时对、项目管理机构设置、劳动力组织、施工进度计划控制、机械设备及周转材料配备、主要分部分项工程施工方法、工程质量控制措施、安全生产保证措施、文明施工及环境保护措施、降低成本措施等诸多因素尽可能充分考虑，突出科学性及可行性。是确保优质、低耗、安全、文明、高速完成全部施工任务的重要经济</w:t>
      </w:r>
      <w:r>
        <w:rPr>
          <w:rFonts w:hint="eastAsia" w:ascii="宋体" w:hAnsi="宋体"/>
          <w:sz w:val="24"/>
          <w:lang w:eastAsia="zh-CN"/>
        </w:rPr>
        <w:t>、</w:t>
      </w:r>
      <w:r>
        <w:rPr>
          <w:rFonts w:hint="eastAsia" w:ascii="宋体" w:hAnsi="宋体"/>
          <w:sz w:val="24"/>
        </w:rPr>
        <w:t>技术文件。</w:t>
      </w:r>
    </w:p>
    <w:p>
      <w:pPr>
        <w:pStyle w:val="4"/>
        <w:numPr>
          <w:ilvl w:val="1"/>
          <w:numId w:val="3"/>
        </w:numPr>
        <w:rPr>
          <w:rFonts w:hint="eastAsia" w:ascii="宋体" w:hAnsi="宋体"/>
          <w:sz w:val="28"/>
          <w:szCs w:val="28"/>
        </w:rPr>
      </w:pPr>
      <w:bookmarkStart w:id="15" w:name="_Toc27471"/>
      <w:bookmarkStart w:id="16" w:name="_Toc7094"/>
      <w:bookmarkStart w:id="17" w:name="_Toc28578"/>
      <w:bookmarkStart w:id="18" w:name="_Toc12424"/>
      <w:bookmarkStart w:id="19" w:name="_Toc8758"/>
      <w:r>
        <w:rPr>
          <w:rFonts w:hint="eastAsia" w:ascii="宋体" w:hAnsi="宋体"/>
          <w:sz w:val="28"/>
          <w:szCs w:val="28"/>
        </w:rPr>
        <w:t>编制依据</w:t>
      </w:r>
      <w:bookmarkEnd w:id="15"/>
      <w:bookmarkEnd w:id="16"/>
      <w:bookmarkEnd w:id="17"/>
      <w:bookmarkEnd w:id="18"/>
      <w:bookmarkEnd w:id="19"/>
    </w:p>
    <w:p>
      <w:pPr>
        <w:numPr>
          <w:ilvl w:val="0"/>
          <w:numId w:val="4"/>
        </w:numPr>
        <w:spacing w:line="360" w:lineRule="auto"/>
        <w:rPr>
          <w:rFonts w:hint="eastAsia" w:ascii="宋体" w:hAnsi="宋体"/>
          <w:sz w:val="24"/>
        </w:rPr>
      </w:pPr>
      <w:r>
        <w:rPr>
          <w:rFonts w:hint="eastAsia" w:ascii="宋体" w:hAnsi="宋体"/>
          <w:sz w:val="24"/>
        </w:rPr>
        <w:t>周至县公安局发包的《周至县公安局交警大队道路交通安全隐患治理项目招标文件》；</w:t>
      </w:r>
    </w:p>
    <w:p>
      <w:pPr>
        <w:numPr>
          <w:ilvl w:val="0"/>
          <w:numId w:val="4"/>
        </w:numPr>
        <w:spacing w:line="360" w:lineRule="auto"/>
        <w:rPr>
          <w:rFonts w:hint="eastAsia" w:ascii="宋体" w:hAnsi="宋体"/>
          <w:sz w:val="24"/>
        </w:rPr>
      </w:pPr>
      <w:r>
        <w:rPr>
          <w:rFonts w:hint="eastAsia" w:ascii="宋体" w:hAnsi="宋体"/>
          <w:sz w:val="24"/>
        </w:rPr>
        <w:t>周至县公安局关于《周至县公安局交警大队道路交通安全隐患治理项目招标文件》的答疑</w:t>
      </w:r>
      <w:r>
        <w:rPr>
          <w:rFonts w:hint="eastAsia" w:ascii="宋体" w:hAnsi="宋体"/>
          <w:sz w:val="24"/>
          <w:lang w:val="en-US" w:eastAsia="zh-CN"/>
        </w:rPr>
        <w:t>文件</w:t>
      </w:r>
      <w:r>
        <w:rPr>
          <w:rFonts w:hint="eastAsia" w:ascii="宋体" w:hAnsi="宋体"/>
          <w:sz w:val="24"/>
        </w:rPr>
        <w:t>；</w:t>
      </w:r>
    </w:p>
    <w:p>
      <w:pPr>
        <w:numPr>
          <w:ilvl w:val="0"/>
          <w:numId w:val="4"/>
        </w:numPr>
        <w:spacing w:line="360" w:lineRule="auto"/>
        <w:rPr>
          <w:rFonts w:hint="eastAsia" w:ascii="宋体" w:hAnsi="宋体"/>
          <w:sz w:val="24"/>
        </w:rPr>
      </w:pPr>
      <w:r>
        <w:rPr>
          <w:rFonts w:hint="eastAsia" w:ascii="宋体" w:hAnsi="宋体"/>
          <w:sz w:val="24"/>
        </w:rPr>
        <w:t>周至县公安局交警大队道路交通安全隐患治理项目施工图；</w:t>
      </w:r>
    </w:p>
    <w:p>
      <w:pPr>
        <w:numPr>
          <w:ilvl w:val="0"/>
          <w:numId w:val="4"/>
        </w:numPr>
        <w:spacing w:line="360" w:lineRule="auto"/>
        <w:rPr>
          <w:rFonts w:hint="eastAsia" w:ascii="宋体" w:hAnsi="宋体"/>
          <w:sz w:val="24"/>
        </w:rPr>
      </w:pPr>
      <w:r>
        <w:rPr>
          <w:rFonts w:hint="eastAsia" w:ascii="宋体" w:hAnsi="宋体"/>
          <w:sz w:val="24"/>
        </w:rPr>
        <w:t>公司现行关于质量、安全、环境“三位一体”管理体系的有关文件：</w:t>
      </w:r>
    </w:p>
    <w:p>
      <w:pPr>
        <w:numPr>
          <w:ilvl w:val="0"/>
          <w:numId w:val="5"/>
        </w:numPr>
        <w:spacing w:line="360" w:lineRule="auto"/>
        <w:ind w:left="840" w:leftChars="0" w:hanging="425" w:firstLineChars="0"/>
        <w:rPr>
          <w:rFonts w:hint="eastAsia" w:ascii="宋体" w:hAnsi="宋体"/>
          <w:sz w:val="24"/>
        </w:rPr>
      </w:pPr>
      <w:r>
        <w:rPr>
          <w:rFonts w:hint="eastAsia" w:ascii="宋体" w:hAnsi="宋体"/>
          <w:sz w:val="24"/>
        </w:rPr>
        <w:t>《“一体化”管理手册》（CHFEC/Q-OHS-E MSMM-2010C版）；</w:t>
      </w:r>
    </w:p>
    <w:p>
      <w:pPr>
        <w:numPr>
          <w:ilvl w:val="0"/>
          <w:numId w:val="5"/>
        </w:numPr>
        <w:spacing w:line="360" w:lineRule="auto"/>
        <w:ind w:left="840" w:leftChars="0" w:hanging="425" w:firstLineChars="0"/>
        <w:rPr>
          <w:rFonts w:hint="eastAsia" w:ascii="宋体" w:hAnsi="宋体"/>
          <w:sz w:val="24"/>
        </w:rPr>
      </w:pPr>
      <w:r>
        <w:rPr>
          <w:rFonts w:hint="eastAsia" w:ascii="宋体" w:hAnsi="宋体"/>
          <w:sz w:val="24"/>
        </w:rPr>
        <w:t>《程序文件》（CHFEC/Q-OHS-E MSPD-2010C版）；</w:t>
      </w:r>
    </w:p>
    <w:p>
      <w:pPr>
        <w:numPr>
          <w:ilvl w:val="0"/>
          <w:numId w:val="5"/>
        </w:numPr>
        <w:spacing w:line="360" w:lineRule="auto"/>
        <w:ind w:left="840" w:leftChars="0" w:hanging="425" w:firstLineChars="0"/>
        <w:rPr>
          <w:rFonts w:hint="eastAsia" w:ascii="宋体" w:hAnsi="宋体"/>
          <w:sz w:val="24"/>
        </w:rPr>
      </w:pPr>
      <w:r>
        <w:rPr>
          <w:rFonts w:hint="eastAsia" w:ascii="宋体" w:hAnsi="宋体"/>
          <w:sz w:val="24"/>
        </w:rPr>
        <w:t>《管理文件》（CHFEC/Q-OHS-E MSMD-2010C版）。</w:t>
      </w:r>
    </w:p>
    <w:p>
      <w:pPr>
        <w:numPr>
          <w:ilvl w:val="0"/>
          <w:numId w:val="4"/>
        </w:numPr>
        <w:spacing w:line="360" w:lineRule="auto"/>
        <w:rPr>
          <w:rFonts w:hint="eastAsia" w:ascii="宋体" w:hAnsi="宋体"/>
          <w:sz w:val="24"/>
        </w:rPr>
      </w:pPr>
      <w:r>
        <w:rPr>
          <w:rFonts w:hint="eastAsia" w:ascii="宋体" w:hAnsi="宋体"/>
          <w:sz w:val="24"/>
          <w:szCs w:val="24"/>
        </w:rPr>
        <w:t>公司《安全质量标准化图集》（2014版）</w:t>
      </w:r>
      <w:r>
        <w:rPr>
          <w:rFonts w:hint="eastAsia" w:ascii="宋体" w:hAnsi="宋体"/>
          <w:sz w:val="24"/>
          <w:szCs w:val="24"/>
          <w:lang w:eastAsia="zh-CN"/>
        </w:rPr>
        <w:t>；</w:t>
      </w:r>
    </w:p>
    <w:p>
      <w:pPr>
        <w:numPr>
          <w:ilvl w:val="0"/>
          <w:numId w:val="4"/>
        </w:numPr>
        <w:spacing w:line="360" w:lineRule="auto"/>
        <w:rPr>
          <w:rFonts w:hint="eastAsia" w:ascii="宋体" w:hAnsi="宋体"/>
          <w:sz w:val="24"/>
        </w:rPr>
      </w:pPr>
      <w:r>
        <w:rPr>
          <w:rFonts w:hint="eastAsia" w:ascii="宋体" w:hAnsi="宋体"/>
          <w:sz w:val="24"/>
          <w:szCs w:val="24"/>
        </w:rPr>
        <w:t>公司《项目管理手册》（20</w:t>
      </w:r>
      <w:r>
        <w:rPr>
          <w:rFonts w:hint="eastAsia" w:ascii="宋体" w:hAnsi="宋体"/>
          <w:sz w:val="24"/>
          <w:szCs w:val="24"/>
          <w:lang w:val="en-US" w:eastAsia="zh-CN"/>
        </w:rPr>
        <w:t>21</w:t>
      </w:r>
      <w:r>
        <w:rPr>
          <w:rFonts w:hint="eastAsia" w:ascii="宋体" w:hAnsi="宋体"/>
          <w:sz w:val="24"/>
          <w:szCs w:val="24"/>
        </w:rPr>
        <w:t>.12）</w:t>
      </w:r>
    </w:p>
    <w:p>
      <w:pPr>
        <w:numPr>
          <w:ilvl w:val="0"/>
          <w:numId w:val="4"/>
        </w:numPr>
        <w:spacing w:line="360" w:lineRule="auto"/>
        <w:rPr>
          <w:rFonts w:hint="eastAsia" w:ascii="宋体" w:hAnsi="宋体"/>
          <w:sz w:val="24"/>
        </w:rPr>
      </w:pPr>
      <w:r>
        <w:rPr>
          <w:rFonts w:hint="eastAsia" w:ascii="宋体" w:hAnsi="宋体"/>
          <w:sz w:val="24"/>
        </w:rPr>
        <w:t>陕西省建设厅文件《建设工程现场文明施工管理办法》；</w:t>
      </w:r>
    </w:p>
    <w:p>
      <w:pPr>
        <w:numPr>
          <w:ilvl w:val="0"/>
          <w:numId w:val="4"/>
        </w:numPr>
        <w:spacing w:line="360" w:lineRule="auto"/>
        <w:rPr>
          <w:rFonts w:hint="eastAsia" w:ascii="宋体" w:hAnsi="宋体"/>
          <w:sz w:val="24"/>
        </w:rPr>
      </w:pPr>
      <w:r>
        <w:rPr>
          <w:rFonts w:hint="eastAsia" w:ascii="宋体" w:hAnsi="宋体"/>
          <w:sz w:val="24"/>
        </w:rPr>
        <w:t>地震出版社出版的《建筑安装工程施工组织设计集》；</w:t>
      </w:r>
    </w:p>
    <w:p>
      <w:pPr>
        <w:numPr>
          <w:ilvl w:val="0"/>
          <w:numId w:val="4"/>
        </w:numPr>
        <w:spacing w:line="360" w:lineRule="auto"/>
        <w:rPr>
          <w:rFonts w:hint="eastAsia" w:ascii="宋体" w:hAnsi="宋体"/>
          <w:sz w:val="24"/>
        </w:rPr>
      </w:pPr>
      <w:r>
        <w:rPr>
          <w:rFonts w:hint="eastAsia" w:ascii="宋体" w:hAnsi="宋体"/>
          <w:sz w:val="24"/>
        </w:rPr>
        <w:t>施工现场勘察的资料和信息：工程施工范围内的现场条件</w:t>
      </w:r>
      <w:r>
        <w:rPr>
          <w:rFonts w:hint="eastAsia" w:ascii="宋体" w:hAnsi="宋体"/>
          <w:sz w:val="24"/>
          <w:lang w:eastAsia="zh-CN"/>
        </w:rPr>
        <w:t>，</w:t>
      </w:r>
      <w:r>
        <w:rPr>
          <w:rFonts w:hint="eastAsia" w:ascii="宋体" w:hAnsi="宋体"/>
          <w:sz w:val="24"/>
        </w:rPr>
        <w:t>工程地质及水文地质、气象等自然条件</w:t>
      </w:r>
      <w:r>
        <w:rPr>
          <w:rFonts w:hint="eastAsia" w:ascii="宋体" w:hAnsi="宋体"/>
          <w:sz w:val="24"/>
          <w:lang w:eastAsia="zh-CN"/>
        </w:rPr>
        <w:t>，</w:t>
      </w:r>
      <w:r>
        <w:rPr>
          <w:rFonts w:hint="eastAsia" w:ascii="宋体" w:hAnsi="宋体"/>
          <w:sz w:val="24"/>
        </w:rPr>
        <w:t>工程有关资源的供应情况；</w:t>
      </w:r>
    </w:p>
    <w:p>
      <w:pPr>
        <w:numPr>
          <w:ilvl w:val="0"/>
          <w:numId w:val="4"/>
        </w:numPr>
        <w:spacing w:line="360" w:lineRule="auto"/>
        <w:rPr>
          <w:rFonts w:hint="eastAsia" w:ascii="宋体" w:hAnsi="宋体"/>
          <w:sz w:val="24"/>
        </w:rPr>
      </w:pPr>
      <w:r>
        <w:rPr>
          <w:rFonts w:hint="eastAsia" w:ascii="宋体" w:hAnsi="宋体"/>
          <w:sz w:val="24"/>
        </w:rPr>
        <w:t>国家及地方政府现行的有关建筑法律、法规、条文；</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《中华人民共和国建筑法》（修订，2011.04.22）</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《中华人民共和国安全生产法》（修订，自2014年12月01日起执行）</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《建设工程质量管理条例》（国务院令【2000】279号）</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《建设工程安全生产管理条例》（国务院令【2003】393号）</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《工伤保险条例》（国务院令【2010】第586号）</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《建筑工程施工许可管理办法》（修订，建设部【2014】18号令）</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《工程建设标准强制条文-房屋建筑部分》（2013版）</w:t>
      </w:r>
    </w:p>
    <w:p>
      <w:pPr>
        <w:numPr>
          <w:ilvl w:val="0"/>
          <w:numId w:val="6"/>
        </w:numPr>
        <w:spacing w:line="360" w:lineRule="auto"/>
        <w:ind w:left="840" w:leftChars="0" w:hanging="425" w:firstLineChars="0"/>
        <w:rPr>
          <w:rFonts w:hint="eastAsia" w:ascii="宋体" w:hAnsi="宋体"/>
          <w:sz w:val="24"/>
        </w:rPr>
      </w:pPr>
      <w:r>
        <w:rPr>
          <w:rFonts w:hint="eastAsia" w:ascii="宋体" w:hAnsi="宋体"/>
          <w:sz w:val="24"/>
        </w:rPr>
        <w:t>《危险性较大的分部分项工程安全管理办法》（建质【2009】87号）</w:t>
      </w:r>
    </w:p>
    <w:p>
      <w:pPr>
        <w:numPr>
          <w:ilvl w:val="0"/>
          <w:numId w:val="4"/>
        </w:numPr>
        <w:spacing w:line="360" w:lineRule="auto"/>
        <w:rPr>
          <w:rFonts w:hint="eastAsia" w:ascii="宋体" w:hAnsi="宋体"/>
          <w:sz w:val="24"/>
        </w:rPr>
      </w:pPr>
      <w:r>
        <w:rPr>
          <w:rFonts w:hint="eastAsia" w:ascii="宋体" w:hAnsi="宋体"/>
          <w:sz w:val="24"/>
        </w:rPr>
        <w:t>国家、行业现行有关施工质量验收规范、强制性标准、操作技术规程及安全生产、文明施工的标准：</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《建设工程项目管理办法》GB/T 50326—2006</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《工程建设施工企业质量管理规范》GB/T 50430—2007</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《建筑工程施工质量评价标准》GB/T 50375—2006</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《施工企业安全生产管理规范》GB/T 50656—2011</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《施工企业安全生产评价标准》JGJ/T 77—2010</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《建筑工程绿色施工规范》GB/T 50905—2014</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《建筑工程绿色施工评价标准》GB/T 50640—2010</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《建筑施工组织设计规范》GB/T 50502—2009</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《建设工程文件归档整理规范》GB/T 50328—2014</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《建筑工程资料管理规程》JGJ/T 185—2009</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《建设工程施工现场安全资料管理规程》CECS 266—2009</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《建筑工程施工质量验收统一标准》GB 50300—2013</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《工程测量规范》GB 50026—2007</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《建筑电气工程施工质量验收规范》GB 50303—2002</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《智能建筑工程质量验收规范》GB 50339-2013</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《建筑节能工程施工质量验收规范》GB 50411—2007</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《建筑施工安全检查标准》JGJ59-2011</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《建设工程施工现场环境与卫生标准》JGJ 146—2013</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《建筑施工场界环境噪声排放标准》GB 12523-2011</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《施工现场临时建筑物技术规范》JGJ/T 188—2009</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《施工现场临时用电安全技术规范》JGJ46-2005</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《建设工程施工现场消防安全技术规范》GB 50720—2011</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《建筑施工作业劳动保护用品配备及使用标准》JGJ 184—2009</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《重大危险源辨识》GB 18218—2000</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《建筑工程施工安全操作规程》</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《建筑施工土石方工程安全技术规范》JGJ 180—2009</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《建筑施工高处作业安全技术规范》JGJ 80—91</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《建筑施工工具式脚手架安全技术规范》JGJ 202—2010</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《建筑机械使用安全技术规程》JGJ 33—2012</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《建筑施工升降机安装、使用、拆卸安全技术规程》JGJ 215—2010</w:t>
      </w:r>
    </w:p>
    <w:p>
      <w:pPr>
        <w:numPr>
          <w:ilvl w:val="0"/>
          <w:numId w:val="7"/>
        </w:numPr>
        <w:spacing w:line="360" w:lineRule="auto"/>
        <w:ind w:left="840" w:leftChars="0" w:hanging="425" w:firstLineChars="0"/>
        <w:rPr>
          <w:rFonts w:hint="eastAsia" w:ascii="宋体" w:hAnsi="宋体"/>
          <w:sz w:val="24"/>
        </w:rPr>
      </w:pPr>
      <w:r>
        <w:rPr>
          <w:rFonts w:hint="eastAsia" w:ascii="宋体" w:hAnsi="宋体"/>
          <w:sz w:val="24"/>
        </w:rPr>
        <w:t>《建筑拆除工程安全技术规范》JGJ 147—2004</w:t>
      </w:r>
    </w:p>
    <w:p>
      <w:pPr>
        <w:numPr>
          <w:ilvl w:val="0"/>
          <w:numId w:val="4"/>
        </w:numPr>
        <w:spacing w:line="360" w:lineRule="auto"/>
        <w:rPr>
          <w:rFonts w:hint="eastAsia" w:ascii="宋体" w:hAnsi="宋体"/>
          <w:sz w:val="24"/>
        </w:rPr>
      </w:pPr>
      <w:r>
        <w:rPr>
          <w:rFonts w:hint="eastAsia" w:ascii="宋体" w:hAnsi="宋体"/>
          <w:sz w:val="24"/>
        </w:rPr>
        <w:t>现场实际情况。</w:t>
      </w:r>
    </w:p>
    <w:p>
      <w:pPr>
        <w:pStyle w:val="4"/>
        <w:numPr>
          <w:ilvl w:val="1"/>
          <w:numId w:val="3"/>
        </w:numPr>
        <w:rPr>
          <w:rFonts w:hint="eastAsia" w:ascii="宋体" w:hAnsi="宋体"/>
          <w:sz w:val="28"/>
          <w:szCs w:val="28"/>
        </w:rPr>
      </w:pPr>
      <w:bookmarkStart w:id="20" w:name="_Toc22929"/>
      <w:bookmarkStart w:id="21" w:name="_Toc25754"/>
      <w:bookmarkStart w:id="22" w:name="_Toc19148"/>
      <w:bookmarkStart w:id="23" w:name="_Toc6208"/>
      <w:bookmarkStart w:id="24" w:name="_Toc20786"/>
      <w:r>
        <w:rPr>
          <w:rFonts w:hint="eastAsia" w:ascii="宋体" w:hAnsi="宋体"/>
          <w:sz w:val="28"/>
          <w:szCs w:val="28"/>
        </w:rPr>
        <w:t>适用范围</w:t>
      </w:r>
      <w:bookmarkEnd w:id="20"/>
      <w:bookmarkEnd w:id="21"/>
      <w:bookmarkEnd w:id="22"/>
      <w:bookmarkEnd w:id="23"/>
      <w:bookmarkEnd w:id="24"/>
    </w:p>
    <w:p>
      <w:pPr>
        <w:pStyle w:val="5"/>
        <w:bidi w:val="0"/>
        <w:rPr>
          <w:rFonts w:hint="eastAsia" w:ascii="宋体" w:hAnsi="宋体" w:eastAsia="宋体" w:cs="宋体"/>
          <w:b/>
          <w:bCs/>
          <w:sz w:val="24"/>
          <w:szCs w:val="24"/>
        </w:rPr>
      </w:pPr>
      <w:bookmarkStart w:id="25" w:name="_Toc31275"/>
      <w:bookmarkStart w:id="26" w:name="_Toc31672"/>
      <w:r>
        <w:rPr>
          <w:rFonts w:hint="eastAsia" w:ascii="宋体" w:hAnsi="宋体" w:eastAsia="宋体" w:cs="宋体"/>
          <w:b/>
          <w:bCs/>
          <w:sz w:val="24"/>
          <w:szCs w:val="24"/>
          <w:lang w:val="en-US" w:eastAsia="zh-CN"/>
        </w:rPr>
        <w:t>1.3.1</w:t>
      </w:r>
      <w:r>
        <w:rPr>
          <w:rFonts w:hint="eastAsia" w:ascii="宋体" w:hAnsi="宋体" w:eastAsia="宋体" w:cs="宋体"/>
          <w:b/>
          <w:bCs/>
          <w:sz w:val="24"/>
          <w:szCs w:val="24"/>
        </w:rPr>
        <w:t>施工图纸内</w:t>
      </w:r>
      <w:bookmarkEnd w:id="25"/>
      <w:bookmarkEnd w:id="26"/>
    </w:p>
    <w:p>
      <w:pPr>
        <w:spacing w:line="360" w:lineRule="auto"/>
        <w:ind w:firstLine="480" w:firstLineChars="200"/>
        <w:rPr>
          <w:rFonts w:hint="eastAsia" w:ascii="宋体" w:hAnsi="宋体"/>
          <w:sz w:val="24"/>
        </w:rPr>
      </w:pPr>
      <w:r>
        <w:rPr>
          <w:rFonts w:hint="eastAsia" w:ascii="宋体" w:hAnsi="宋体"/>
          <w:sz w:val="24"/>
        </w:rPr>
        <w:t>本工程为周至县公安局交警大队道路交通隐患治理项目。涉及周至城区内、城区外（集贤、楼观台、马昭、哑柏、终南）等城镇。本次</w:t>
      </w:r>
      <w:r>
        <w:rPr>
          <w:rFonts w:hint="eastAsia" w:ascii="宋体" w:hAnsi="宋体"/>
          <w:sz w:val="24"/>
          <w:lang w:val="en-US" w:eastAsia="zh-CN"/>
        </w:rPr>
        <w:t>施工</w:t>
      </w:r>
      <w:r>
        <w:rPr>
          <w:rFonts w:hint="eastAsia" w:ascii="宋体" w:hAnsi="宋体"/>
          <w:sz w:val="24"/>
        </w:rPr>
        <w:t>内容包含交叉口和路段的信号控制系统、闯红灯违法抓拍系统（电子警察）、卡口系统以及沿线管线、窨井系统</w:t>
      </w:r>
      <w:r>
        <w:rPr>
          <w:rFonts w:hint="eastAsia" w:ascii="宋体" w:hAnsi="宋体"/>
          <w:sz w:val="24"/>
          <w:lang w:val="en-US" w:eastAsia="zh-CN"/>
        </w:rPr>
        <w:t>工程和</w:t>
      </w:r>
      <w:r>
        <w:rPr>
          <w:rFonts w:hint="eastAsia" w:ascii="宋体" w:hAnsi="宋体"/>
          <w:sz w:val="24"/>
        </w:rPr>
        <w:t>周至县公安局</w:t>
      </w:r>
      <w:r>
        <w:rPr>
          <w:rFonts w:hint="eastAsia" w:ascii="宋体" w:hAnsi="宋体"/>
          <w:sz w:val="24"/>
          <w:lang w:eastAsia="zh-CN"/>
        </w:rPr>
        <w:t>会议厅</w:t>
      </w:r>
      <w:r>
        <w:rPr>
          <w:rFonts w:hint="eastAsia" w:ascii="宋体" w:hAnsi="宋体"/>
          <w:sz w:val="24"/>
          <w:lang w:val="en-US" w:eastAsia="zh-CN"/>
        </w:rPr>
        <w:t>及指挥大厅装饰装修工程</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施工过程中应建设单位、监理单位或设计院要求而进行的设计变更、技术处理等。</w:t>
      </w:r>
    </w:p>
    <w:p>
      <w:pPr>
        <w:pStyle w:val="5"/>
        <w:bidi w:val="0"/>
        <w:rPr>
          <w:rFonts w:hint="eastAsia" w:ascii="宋体" w:hAnsi="宋体" w:eastAsia="宋体" w:cs="宋体"/>
          <w:b/>
          <w:bCs/>
          <w:sz w:val="24"/>
          <w:szCs w:val="24"/>
          <w:lang w:eastAsia="zh-CN"/>
        </w:rPr>
      </w:pPr>
      <w:bookmarkStart w:id="27" w:name="_Toc31395"/>
      <w:bookmarkStart w:id="28" w:name="_Toc4196"/>
      <w:r>
        <w:rPr>
          <w:rFonts w:hint="eastAsia" w:ascii="宋体" w:hAnsi="宋体" w:eastAsia="宋体" w:cs="宋体"/>
          <w:b/>
          <w:bCs/>
          <w:sz w:val="24"/>
          <w:szCs w:val="24"/>
          <w:lang w:val="en-US" w:eastAsia="zh-CN"/>
        </w:rPr>
        <w:t>1.3.2</w:t>
      </w:r>
      <w:r>
        <w:rPr>
          <w:rFonts w:hint="eastAsia" w:ascii="宋体" w:hAnsi="宋体" w:eastAsia="宋体" w:cs="宋体"/>
          <w:b/>
          <w:bCs/>
          <w:sz w:val="24"/>
          <w:szCs w:val="24"/>
        </w:rPr>
        <w:t>施工图纸</w:t>
      </w:r>
      <w:bookmarkEnd w:id="27"/>
      <w:r>
        <w:rPr>
          <w:rFonts w:hint="eastAsia" w:ascii="宋体" w:hAnsi="宋体" w:eastAsia="宋体" w:cs="宋体"/>
          <w:b/>
          <w:bCs/>
          <w:sz w:val="24"/>
          <w:szCs w:val="24"/>
          <w:lang w:val="en-US" w:eastAsia="zh-CN"/>
        </w:rPr>
        <w:t>外</w:t>
      </w:r>
      <w:bookmarkEnd w:id="28"/>
    </w:p>
    <w:p>
      <w:pPr>
        <w:numPr>
          <w:ilvl w:val="0"/>
          <w:numId w:val="8"/>
        </w:numPr>
        <w:spacing w:line="360" w:lineRule="auto"/>
        <w:ind w:left="840" w:leftChars="0" w:hanging="487" w:firstLineChars="0"/>
        <w:rPr>
          <w:rFonts w:hint="eastAsia" w:ascii="宋体" w:hAnsi="宋体"/>
          <w:sz w:val="24"/>
        </w:rPr>
      </w:pPr>
      <w:r>
        <w:rPr>
          <w:rFonts w:hint="eastAsia" w:ascii="宋体" w:hAnsi="宋体"/>
          <w:sz w:val="24"/>
        </w:rPr>
        <w:t>施工现场临时设施的布置等文明施工措施；</w:t>
      </w:r>
    </w:p>
    <w:p>
      <w:pPr>
        <w:numPr>
          <w:ilvl w:val="0"/>
          <w:numId w:val="8"/>
        </w:numPr>
        <w:spacing w:line="360" w:lineRule="auto"/>
        <w:ind w:left="840" w:leftChars="0" w:hanging="487" w:firstLineChars="0"/>
        <w:rPr>
          <w:rFonts w:hint="eastAsia" w:ascii="宋体" w:hAnsi="宋体"/>
          <w:sz w:val="24"/>
        </w:rPr>
      </w:pPr>
      <w:r>
        <w:rPr>
          <w:rFonts w:hint="eastAsia" w:ascii="宋体" w:hAnsi="宋体"/>
          <w:sz w:val="24"/>
        </w:rPr>
        <w:t>为保证工程顺利进行而必须采取施工措施和施工工艺；</w:t>
      </w:r>
    </w:p>
    <w:p>
      <w:pPr>
        <w:numPr>
          <w:ilvl w:val="0"/>
          <w:numId w:val="8"/>
        </w:numPr>
        <w:spacing w:line="360" w:lineRule="auto"/>
        <w:ind w:left="840" w:leftChars="0" w:hanging="487" w:firstLineChars="0"/>
        <w:rPr>
          <w:rFonts w:hint="eastAsia" w:ascii="宋体" w:hAnsi="宋体"/>
          <w:sz w:val="24"/>
        </w:rPr>
      </w:pPr>
      <w:r>
        <w:rPr>
          <w:rFonts w:hint="eastAsia" w:ascii="宋体" w:hAnsi="宋体"/>
          <w:sz w:val="24"/>
        </w:rPr>
        <w:t>施工现场及周围建筑物、道路及地下管道的保护，安全和环境保护等措施；</w:t>
      </w:r>
    </w:p>
    <w:p>
      <w:pPr>
        <w:numPr>
          <w:ilvl w:val="0"/>
          <w:numId w:val="8"/>
        </w:numPr>
        <w:spacing w:line="360" w:lineRule="auto"/>
        <w:ind w:left="840" w:leftChars="0" w:hanging="487" w:firstLineChars="0"/>
        <w:rPr>
          <w:rFonts w:hint="eastAsia" w:ascii="宋体" w:hAnsi="宋体"/>
          <w:sz w:val="24"/>
        </w:rPr>
      </w:pPr>
      <w:r>
        <w:rPr>
          <w:rFonts w:hint="eastAsia" w:ascii="宋体" w:hAnsi="宋体"/>
          <w:sz w:val="24"/>
        </w:rPr>
        <w:t>施工期间防洪、防雨、防火、等措施；</w:t>
      </w:r>
    </w:p>
    <w:p>
      <w:pPr>
        <w:numPr>
          <w:ilvl w:val="0"/>
          <w:numId w:val="8"/>
        </w:numPr>
        <w:spacing w:line="360" w:lineRule="auto"/>
        <w:ind w:left="840" w:leftChars="0" w:hanging="487" w:firstLineChars="0"/>
        <w:rPr>
          <w:rFonts w:hint="eastAsia" w:ascii="宋体" w:hAnsi="宋体"/>
          <w:sz w:val="24"/>
        </w:rPr>
      </w:pPr>
      <w:r>
        <w:rPr>
          <w:rFonts w:hint="eastAsia" w:ascii="宋体" w:hAnsi="宋体"/>
          <w:sz w:val="24"/>
        </w:rPr>
        <w:t>同其它建设单位分包工程施工单位的配合；</w:t>
      </w:r>
    </w:p>
    <w:p>
      <w:pPr>
        <w:numPr>
          <w:ilvl w:val="0"/>
          <w:numId w:val="8"/>
        </w:numPr>
        <w:spacing w:line="360" w:lineRule="auto"/>
        <w:ind w:left="840" w:leftChars="0" w:hanging="487" w:firstLineChars="0"/>
        <w:rPr>
          <w:rFonts w:hint="eastAsia" w:ascii="宋体" w:hAnsi="宋体"/>
          <w:sz w:val="24"/>
        </w:rPr>
      </w:pPr>
      <w:r>
        <w:rPr>
          <w:rFonts w:hint="eastAsia" w:ascii="宋体" w:hAnsi="宋体"/>
          <w:sz w:val="24"/>
        </w:rPr>
        <w:t>工程完工后建筑物周围10米内的清理平整；</w:t>
      </w:r>
    </w:p>
    <w:p>
      <w:pPr>
        <w:pStyle w:val="3"/>
        <w:numPr>
          <w:ilvl w:val="1"/>
          <w:numId w:val="2"/>
        </w:numPr>
        <w:rPr>
          <w:rFonts w:hint="eastAsia" w:ascii="宋体" w:hAnsi="宋体" w:eastAsia="宋体"/>
          <w:sz w:val="30"/>
          <w:szCs w:val="30"/>
        </w:rPr>
      </w:pPr>
      <w:bookmarkStart w:id="29" w:name="_Toc26796"/>
      <w:bookmarkStart w:id="30" w:name="_Toc9538"/>
      <w:bookmarkStart w:id="31" w:name="_Toc30232"/>
      <w:bookmarkStart w:id="32" w:name="_Toc28519"/>
      <w:bookmarkStart w:id="33" w:name="_Toc19995"/>
      <w:r>
        <w:rPr>
          <w:rFonts w:hint="eastAsia" w:ascii="宋体" w:hAnsi="宋体" w:eastAsia="宋体"/>
          <w:sz w:val="30"/>
          <w:szCs w:val="30"/>
        </w:rPr>
        <w:t>工程概况</w:t>
      </w:r>
      <w:bookmarkEnd w:id="29"/>
      <w:bookmarkEnd w:id="30"/>
      <w:bookmarkEnd w:id="31"/>
      <w:bookmarkEnd w:id="32"/>
      <w:bookmarkEnd w:id="33"/>
    </w:p>
    <w:p>
      <w:pPr>
        <w:pStyle w:val="4"/>
        <w:numPr>
          <w:ilvl w:val="1"/>
          <w:numId w:val="9"/>
        </w:numPr>
        <w:rPr>
          <w:rFonts w:hint="eastAsia" w:ascii="宋体" w:hAnsi="宋体"/>
          <w:sz w:val="28"/>
          <w:szCs w:val="28"/>
        </w:rPr>
      </w:pPr>
      <w:bookmarkStart w:id="34" w:name="_Toc26535"/>
      <w:bookmarkStart w:id="35" w:name="_Toc30851"/>
      <w:bookmarkStart w:id="36" w:name="_Toc17343"/>
      <w:bookmarkStart w:id="37" w:name="_Toc1341"/>
      <w:bookmarkStart w:id="38" w:name="_Toc15798"/>
      <w:r>
        <w:rPr>
          <w:rFonts w:hint="eastAsia" w:ascii="宋体" w:hAnsi="宋体"/>
          <w:sz w:val="28"/>
          <w:szCs w:val="28"/>
        </w:rPr>
        <w:t>工程概况</w:t>
      </w:r>
      <w:bookmarkEnd w:id="34"/>
      <w:bookmarkEnd w:id="35"/>
      <w:bookmarkEnd w:id="36"/>
      <w:bookmarkEnd w:id="37"/>
      <w:bookmarkEnd w:id="38"/>
    </w:p>
    <w:p>
      <w:pPr>
        <w:numPr>
          <w:ilvl w:val="0"/>
          <w:numId w:val="10"/>
        </w:numPr>
        <w:spacing w:line="360" w:lineRule="auto"/>
        <w:rPr>
          <w:rFonts w:hint="eastAsia"/>
          <w:sz w:val="24"/>
        </w:rPr>
      </w:pPr>
      <w:r>
        <w:rPr>
          <w:rFonts w:hint="eastAsia"/>
          <w:sz w:val="24"/>
        </w:rPr>
        <w:t>工程名称：</w:t>
      </w:r>
      <w:r>
        <w:rPr>
          <w:rFonts w:hint="eastAsia" w:ascii="宋体" w:hAnsi="宋体"/>
          <w:sz w:val="24"/>
        </w:rPr>
        <w:t>周至县公安局交警大队道路交通安全隐患治理</w:t>
      </w:r>
      <w:r>
        <w:rPr>
          <w:rFonts w:hint="eastAsia"/>
          <w:sz w:val="24"/>
        </w:rPr>
        <w:t>工程</w:t>
      </w:r>
    </w:p>
    <w:p>
      <w:pPr>
        <w:numPr>
          <w:ilvl w:val="0"/>
          <w:numId w:val="10"/>
        </w:numPr>
        <w:spacing w:line="360" w:lineRule="auto"/>
        <w:rPr>
          <w:rFonts w:hint="eastAsia"/>
          <w:sz w:val="24"/>
        </w:rPr>
      </w:pPr>
      <w:r>
        <w:rPr>
          <w:rFonts w:hint="eastAsia"/>
          <w:sz w:val="24"/>
        </w:rPr>
        <w:t>工程地点：</w:t>
      </w:r>
      <w:r>
        <w:rPr>
          <w:rFonts w:hint="eastAsia"/>
          <w:sz w:val="24"/>
          <w:lang w:val="en-US" w:eastAsia="zh-CN"/>
        </w:rPr>
        <w:t>西安市</w:t>
      </w:r>
      <w:r>
        <w:rPr>
          <w:rFonts w:hint="eastAsia" w:ascii="宋体" w:hAnsi="宋体"/>
          <w:sz w:val="24"/>
        </w:rPr>
        <w:t>周至县</w:t>
      </w:r>
    </w:p>
    <w:p>
      <w:pPr>
        <w:numPr>
          <w:ilvl w:val="0"/>
          <w:numId w:val="10"/>
        </w:numPr>
        <w:spacing w:line="360" w:lineRule="auto"/>
        <w:rPr>
          <w:rFonts w:hint="eastAsia"/>
          <w:sz w:val="24"/>
        </w:rPr>
      </w:pPr>
      <w:r>
        <w:rPr>
          <w:rFonts w:hint="eastAsia"/>
          <w:sz w:val="24"/>
        </w:rPr>
        <w:t>单位工程</w:t>
      </w:r>
      <w:r>
        <w:rPr>
          <w:rFonts w:hint="eastAsia"/>
          <w:sz w:val="24"/>
          <w:lang w:val="en-US" w:eastAsia="zh-CN"/>
        </w:rPr>
        <w:t>数量</w:t>
      </w:r>
      <w:r>
        <w:rPr>
          <w:rFonts w:hint="eastAsia"/>
          <w:sz w:val="24"/>
        </w:rPr>
        <w:t>：</w:t>
      </w:r>
      <w:r>
        <w:rPr>
          <w:rFonts w:hint="eastAsia"/>
          <w:sz w:val="24"/>
          <w:lang w:val="en-US" w:eastAsia="zh-CN"/>
        </w:rPr>
        <w:t>249</w:t>
      </w:r>
      <w:r>
        <w:rPr>
          <w:rFonts w:hint="eastAsia"/>
          <w:sz w:val="24"/>
        </w:rPr>
        <w:t>个</w:t>
      </w:r>
    </w:p>
    <w:p>
      <w:pPr>
        <w:numPr>
          <w:ilvl w:val="0"/>
          <w:numId w:val="10"/>
        </w:numPr>
        <w:spacing w:line="360" w:lineRule="auto"/>
        <w:rPr>
          <w:rFonts w:hint="eastAsia"/>
          <w:sz w:val="24"/>
        </w:rPr>
      </w:pPr>
      <w:r>
        <w:rPr>
          <w:rFonts w:hint="eastAsia"/>
          <w:sz w:val="24"/>
        </w:rPr>
        <w:t>现场条件：本工程现场</w:t>
      </w:r>
      <w:r>
        <w:rPr>
          <w:rFonts w:hint="eastAsia"/>
          <w:sz w:val="24"/>
          <w:lang w:val="en-US" w:eastAsia="zh-CN"/>
        </w:rPr>
        <w:t>不</w:t>
      </w:r>
      <w:r>
        <w:rPr>
          <w:rFonts w:hint="eastAsia"/>
          <w:sz w:val="24"/>
        </w:rPr>
        <w:t>能够满足住宿、材料堆放、加工等设施的布置，</w:t>
      </w:r>
      <w:r>
        <w:rPr>
          <w:rFonts w:hint="eastAsia"/>
          <w:sz w:val="24"/>
          <w:lang w:val="en-US" w:eastAsia="zh-CN"/>
        </w:rPr>
        <w:t>因此要求施工方合理规划施工现场、调配好施工人员及机械</w:t>
      </w:r>
      <w:r>
        <w:rPr>
          <w:rFonts w:hint="eastAsia"/>
          <w:sz w:val="24"/>
        </w:rPr>
        <w:t>，</w:t>
      </w:r>
      <w:r>
        <w:rPr>
          <w:rFonts w:hint="eastAsia"/>
          <w:sz w:val="24"/>
          <w:lang w:val="en-US" w:eastAsia="zh-CN"/>
        </w:rPr>
        <w:t>做到当天到场当天离场，人走场清</w:t>
      </w:r>
      <w:r>
        <w:rPr>
          <w:rFonts w:hint="eastAsia"/>
          <w:sz w:val="24"/>
        </w:rPr>
        <w:t>。</w:t>
      </w:r>
    </w:p>
    <w:p>
      <w:pPr>
        <w:numPr>
          <w:ilvl w:val="0"/>
          <w:numId w:val="10"/>
        </w:numPr>
        <w:spacing w:line="360" w:lineRule="auto"/>
        <w:rPr>
          <w:rFonts w:hint="eastAsia"/>
          <w:sz w:val="24"/>
        </w:rPr>
      </w:pPr>
      <w:r>
        <w:rPr>
          <w:rFonts w:hint="eastAsia"/>
          <w:sz w:val="24"/>
        </w:rPr>
        <w:t>施工前的准备工作</w:t>
      </w:r>
      <w:r>
        <w:rPr>
          <w:rFonts w:hint="eastAsia"/>
          <w:sz w:val="24"/>
          <w:lang w:val="en-US" w:eastAsia="zh-CN"/>
        </w:rPr>
        <w:t>要做扎实</w:t>
      </w:r>
      <w:r>
        <w:rPr>
          <w:rFonts w:hint="eastAsia"/>
          <w:sz w:val="24"/>
        </w:rPr>
        <w:t>，</w:t>
      </w:r>
      <w:r>
        <w:rPr>
          <w:rFonts w:hint="eastAsia"/>
          <w:sz w:val="24"/>
          <w:lang w:val="en-US" w:eastAsia="zh-CN"/>
        </w:rPr>
        <w:t>一旦</w:t>
      </w:r>
      <w:r>
        <w:rPr>
          <w:rFonts w:hint="eastAsia"/>
          <w:sz w:val="24"/>
        </w:rPr>
        <w:t>具备进场施工条件</w:t>
      </w:r>
      <w:r>
        <w:rPr>
          <w:rFonts w:hint="eastAsia"/>
          <w:sz w:val="24"/>
          <w:lang w:val="en-US" w:eastAsia="zh-CN"/>
        </w:rPr>
        <w:t>做到即时安装、即时测试、即时清场</w:t>
      </w:r>
      <w:r>
        <w:rPr>
          <w:rFonts w:hint="eastAsia"/>
          <w:sz w:val="24"/>
        </w:rPr>
        <w:t>。</w:t>
      </w:r>
    </w:p>
    <w:p>
      <w:pPr>
        <w:pStyle w:val="4"/>
        <w:numPr>
          <w:ilvl w:val="1"/>
          <w:numId w:val="9"/>
        </w:numPr>
        <w:rPr>
          <w:rFonts w:hint="eastAsia" w:ascii="宋体" w:hAnsi="宋体"/>
          <w:sz w:val="28"/>
          <w:szCs w:val="28"/>
        </w:rPr>
      </w:pPr>
      <w:bookmarkStart w:id="39" w:name="_Toc15002"/>
      <w:bookmarkStart w:id="40" w:name="_Toc23029"/>
      <w:bookmarkStart w:id="41" w:name="_Toc6782"/>
      <w:bookmarkStart w:id="42" w:name="_Toc17661"/>
      <w:bookmarkStart w:id="43" w:name="_Toc26731"/>
      <w:r>
        <w:rPr>
          <w:rFonts w:hint="eastAsia" w:ascii="宋体" w:hAnsi="宋体"/>
          <w:sz w:val="28"/>
          <w:szCs w:val="28"/>
        </w:rPr>
        <w:t>工程内容</w:t>
      </w:r>
      <w:bookmarkEnd w:id="39"/>
      <w:bookmarkEnd w:id="40"/>
      <w:bookmarkEnd w:id="41"/>
      <w:bookmarkEnd w:id="42"/>
      <w:bookmarkEnd w:id="43"/>
    </w:p>
    <w:p>
      <w:pPr>
        <w:pStyle w:val="5"/>
        <w:bidi w:val="0"/>
        <w:rPr>
          <w:rFonts w:hint="eastAsia" w:ascii="宋体" w:hAnsi="宋体" w:eastAsia="宋体" w:cs="宋体"/>
          <w:b/>
          <w:bCs/>
          <w:sz w:val="24"/>
          <w:szCs w:val="24"/>
        </w:rPr>
      </w:pPr>
      <w:bookmarkStart w:id="44" w:name="_Toc11392"/>
      <w:r>
        <w:rPr>
          <w:rFonts w:hint="eastAsia" w:ascii="宋体" w:hAnsi="宋体" w:eastAsia="宋体" w:cs="宋体"/>
          <w:b/>
          <w:bCs/>
          <w:sz w:val="24"/>
          <w:szCs w:val="24"/>
          <w:lang w:val="en-US" w:eastAsia="zh-CN"/>
        </w:rPr>
        <w:t>2.2.1</w:t>
      </w:r>
      <w:r>
        <w:rPr>
          <w:rFonts w:hint="eastAsia" w:ascii="宋体" w:hAnsi="宋体" w:eastAsia="宋体" w:cs="宋体"/>
          <w:b/>
          <w:bCs/>
          <w:sz w:val="24"/>
          <w:szCs w:val="24"/>
        </w:rPr>
        <w:t>施工图纸内</w:t>
      </w:r>
      <w:bookmarkEnd w:id="44"/>
    </w:p>
    <w:p>
      <w:pPr>
        <w:numPr>
          <w:ilvl w:val="0"/>
          <w:numId w:val="11"/>
        </w:numPr>
        <w:spacing w:line="360" w:lineRule="auto"/>
        <w:rPr>
          <w:rFonts w:hint="eastAsia"/>
          <w:sz w:val="24"/>
        </w:rPr>
      </w:pPr>
      <w:r>
        <w:rPr>
          <w:rFonts w:hint="eastAsia" w:ascii="宋体" w:hAnsi="宋体"/>
          <w:bCs/>
          <w:color w:val="000000"/>
          <w:sz w:val="24"/>
        </w:rPr>
        <w:t>交通控制</w:t>
      </w:r>
      <w:r>
        <w:rPr>
          <w:rFonts w:hint="eastAsia"/>
          <w:sz w:val="24"/>
        </w:rPr>
        <w:t>工程</w:t>
      </w:r>
    </w:p>
    <w:p>
      <w:pPr>
        <w:numPr>
          <w:ilvl w:val="0"/>
          <w:numId w:val="11"/>
        </w:numPr>
        <w:spacing w:line="360" w:lineRule="auto"/>
        <w:rPr>
          <w:rFonts w:hint="eastAsia"/>
          <w:sz w:val="24"/>
        </w:rPr>
      </w:pPr>
      <w:r>
        <w:rPr>
          <w:rFonts w:hint="eastAsia"/>
          <w:sz w:val="24"/>
          <w:lang w:val="en-US" w:eastAsia="zh-CN"/>
        </w:rPr>
        <w:t>电子警察及卡口工程</w:t>
      </w:r>
    </w:p>
    <w:p>
      <w:pPr>
        <w:numPr>
          <w:ilvl w:val="0"/>
          <w:numId w:val="11"/>
        </w:numPr>
        <w:spacing w:line="360" w:lineRule="auto"/>
        <w:rPr>
          <w:rFonts w:hint="eastAsia"/>
          <w:sz w:val="24"/>
        </w:rPr>
      </w:pPr>
      <w:r>
        <w:rPr>
          <w:rFonts w:hint="eastAsia" w:ascii="宋体" w:hAnsi="宋体"/>
          <w:sz w:val="24"/>
          <w:lang w:val="en-US" w:eastAsia="zh-CN"/>
        </w:rPr>
        <w:t>道路标识标线</w:t>
      </w:r>
      <w:r>
        <w:rPr>
          <w:rFonts w:hint="eastAsia" w:hAnsi="宋体"/>
          <w:sz w:val="24"/>
          <w:lang w:val="en-US" w:eastAsia="zh-CN"/>
        </w:rPr>
        <w:t>等物理设施</w:t>
      </w:r>
      <w:r>
        <w:rPr>
          <w:rFonts w:hint="eastAsia"/>
          <w:sz w:val="24"/>
        </w:rPr>
        <w:t>工程</w:t>
      </w:r>
    </w:p>
    <w:p>
      <w:pPr>
        <w:numPr>
          <w:ilvl w:val="0"/>
          <w:numId w:val="11"/>
        </w:numPr>
        <w:spacing w:line="360" w:lineRule="auto"/>
        <w:rPr>
          <w:rFonts w:hint="eastAsia"/>
          <w:sz w:val="24"/>
        </w:rPr>
      </w:pPr>
      <w:r>
        <w:rPr>
          <w:rFonts w:hint="eastAsia" w:ascii="宋体" w:hAnsi="宋体"/>
          <w:sz w:val="24"/>
          <w:lang w:val="en-US" w:eastAsia="zh-CN"/>
        </w:rPr>
        <w:t>装饰装修</w:t>
      </w:r>
      <w:r>
        <w:rPr>
          <w:rFonts w:hint="eastAsia"/>
          <w:sz w:val="24"/>
        </w:rPr>
        <w:t>工程</w:t>
      </w:r>
    </w:p>
    <w:p>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br w:type="page"/>
      </w:r>
    </w:p>
    <w:p>
      <w:pPr>
        <w:pStyle w:val="5"/>
        <w:bidi w:val="0"/>
        <w:rPr>
          <w:rFonts w:hint="default" w:ascii="宋体" w:hAnsi="宋体" w:eastAsia="宋体" w:cs="宋体"/>
          <w:b/>
          <w:bCs/>
          <w:sz w:val="24"/>
          <w:szCs w:val="24"/>
          <w:lang w:val="en-US"/>
        </w:rPr>
      </w:pPr>
      <w:bookmarkStart w:id="45" w:name="_Toc12734"/>
      <w:r>
        <w:rPr>
          <w:rFonts w:hint="eastAsia" w:ascii="宋体" w:hAnsi="宋体" w:eastAsia="宋体" w:cs="宋体"/>
          <w:b/>
          <w:bCs/>
          <w:sz w:val="24"/>
          <w:szCs w:val="24"/>
          <w:lang w:val="en-US" w:eastAsia="zh-CN"/>
        </w:rPr>
        <w:t>2.2.2 路交通隐患路口一览表</w:t>
      </w:r>
      <w:bookmarkEnd w:id="45"/>
    </w:p>
    <w:tbl>
      <w:tblPr>
        <w:tblStyle w:val="23"/>
        <w:tblpPr w:leftFromText="180" w:rightFromText="180" w:vertAnchor="text" w:horzAnchor="page" w:tblpX="1890" w:tblpY="459"/>
        <w:tblOverlap w:val="never"/>
        <w:tblW w:w="92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95"/>
        <w:gridCol w:w="2500"/>
        <w:gridCol w:w="3022"/>
        <w:gridCol w:w="1466"/>
        <w:gridCol w:w="1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0" w:hRule="atLeast"/>
        </w:trPr>
        <w:tc>
          <w:tcPr>
            <w:tcW w:w="9250" w:type="dxa"/>
            <w:gridSpan w:val="5"/>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0"/>
                <w:sz w:val="21"/>
                <w:szCs w:val="21"/>
                <w:lang w:val="en-US" w:eastAsia="zh-CN" w:bidi="ar"/>
              </w:rPr>
              <w:t>道路交通隐患路口点位表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5" w:hRule="atLeast"/>
        </w:trPr>
        <w:tc>
          <w:tcPr>
            <w:tcW w:w="595"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Style w:val="51"/>
                <w:sz w:val="21"/>
                <w:szCs w:val="21"/>
                <w:lang w:val="en-US" w:eastAsia="zh-CN" w:bidi="ar"/>
              </w:rPr>
              <w:t>序号</w:t>
            </w:r>
          </w:p>
        </w:tc>
        <w:tc>
          <w:tcPr>
            <w:tcW w:w="2500"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1"/>
                <w:sz w:val="21"/>
                <w:szCs w:val="21"/>
                <w:lang w:val="en-US" w:eastAsia="zh-CN" w:bidi="ar"/>
              </w:rPr>
              <w:t>危险事故多发点位</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1"/>
                <w:sz w:val="21"/>
                <w:szCs w:val="21"/>
                <w:lang w:val="en-US" w:eastAsia="zh-CN" w:bidi="ar"/>
              </w:rPr>
              <w:t>治理建议</w:t>
            </w:r>
          </w:p>
        </w:tc>
        <w:tc>
          <w:tcPr>
            <w:tcW w:w="1466"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1"/>
                <w:sz w:val="21"/>
                <w:szCs w:val="21"/>
                <w:lang w:val="en-US" w:eastAsia="zh-CN" w:bidi="ar"/>
              </w:rPr>
              <w:t>北纬</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1"/>
                <w:sz w:val="21"/>
                <w:szCs w:val="21"/>
                <w:lang w:val="en-US" w:eastAsia="zh-CN" w:bidi="ar"/>
              </w:rPr>
              <w:t>东经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310国道终南东关村</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34°14′86″</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108°37′94″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310国道终南村路口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34°14′09″</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108°36′24″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500"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107省道与黑河西堤路交叉丁字口（南北两处）</w:t>
            </w:r>
            <w:r>
              <w:rPr>
                <w:rStyle w:val="51"/>
                <w:sz w:val="21"/>
                <w:szCs w:val="21"/>
                <w:lang w:val="en-US" w:eastAsia="zh-CN" w:bidi="ar"/>
              </w:rPr>
              <w:br w:type="textWrapping"/>
            </w:r>
            <w:r>
              <w:rPr>
                <w:rStyle w:val="51"/>
                <w:sz w:val="21"/>
                <w:szCs w:val="21"/>
                <w:lang w:val="en-US" w:eastAsia="zh-CN" w:bidi="ar"/>
              </w:rPr>
              <w:t>183KM+200M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34°7′12″</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108°21′73″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107省道与东火村北东路口交叉丁字路口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34°7′50″</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108°19′51″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107省道与东火村出村路交叉丁字186KM+600M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34°7′55″</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108°19′11″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107省道与东火村西出村路交叉十字185KM+900M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34°7′59″</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108°18′85″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107省道与崇耕村出村路交叉十字口186KM+200M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34°7′59″</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108°18′85″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107省道与枣林村东口交叉十字186KM+750M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34°7′99″</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108°17′34″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107省道与中兴村出村路交叉丁字口187KM+150M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34°8′06″</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108°17′14″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107省道与北枣村东出村路交叉十字口187KM+720M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34°8′00″</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108°17′32″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107省道与北枣村中出村路交叉丁字口187KM+850M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34°8′06″</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108°17′14″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107省道与北枣村中二出村路交叉十字口187KM+950M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34°8′00″</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108°17′32″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107省道与北枣村西出村路交叉十字口188KM+130M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34°8′08″</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108°17′12″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107省道与辛口社区交叉十字188KM+400M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34°8′24″</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108°16′65″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107省道与喜仙食品进出口交叉丁字188KM+480M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34°8′27″</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108°16′58″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107省道与桑园村出村财路交叉十字口189KM+150M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34°8′51″</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108°15′94″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107省道与南大坪村东出村路交叉十字口189KM+550M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34°8′65″</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107省道与南大坪东二出村路交叉十字口189KM+850M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34°8′71″</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108°15′28″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107省道与南大坪中出村路交叉十字口189KM+900M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34°8′79″</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108°14′98″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107省道与南大坪村西出村路交叉丁字口190KM+150M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34°8′75″</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108°14′98″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107省道与西寨村出村路交叉丁字口190KM+880M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34°8′98″</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108°14′27″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107省道与骆峪水库西堤路交叉丁字口191KM+400M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34°9′15″</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108°14′98″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107省道与东寨村出村路交叉丁字口191KM+500M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34°9′24″</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108°13′53″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107省道与东寨村东路交叉丁字口191KM+600M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34°9′23″</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108°13′53″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107省道与东寨村西出村路交叉十字口192KM+100M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34°9′42″</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108°12′94″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107省道与复兴寨村出村路交叉十字口192KM+650M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34°9′53″</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108°12′45″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107省道与北双庙村东路交叉十字口192KM+900M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34°9′63″</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108°12′12″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107省道与北双庙村中出村路交叉十字口193KM+180M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34°9′89″</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108°11′86″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107省道与北双庙村西交叉十字口193KM+800M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34°10′28″</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107省道与南留村东路交叉十字口194KM+180M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34°10′57″</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107省道与南留村中村交叉丁字口194KM+600M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34°10′88″</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107省道与南留村西村交叉十字口195KM+50M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34°11′18″</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107省道与下河邑村交叉十字口195KM+750M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108°5′49″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319县道渭兴村六组路口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34°19′06″</w:t>
            </w:r>
          </w:p>
        </w:tc>
        <w:tc>
          <w:tcPr>
            <w:tcW w:w="16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108°26′84″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319县道渭丰村八组路口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34°18′96″</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108°29′20″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318县道与周广路交叉十字</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Style w:val="52"/>
                <w:sz w:val="21"/>
                <w:szCs w:val="21"/>
                <w:lang w:val="en-US" w:eastAsia="zh-CN" w:bidi="ar"/>
              </w:rPr>
              <w:t>34 °7′48″</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周广路与工业路十字</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34°9′19″</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108°12′19″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周广路与黄兴村出村交叉丁字口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34°7′35″</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周广路与小麦屯出村路交叉丁字口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34°7′30″</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周广路与永红村交叉丁字口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34°7′22″</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周广路与黑惠渠北堤路交叉十字</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34°7′1″</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108°9′53″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周广路与广济村交叉丁字口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34°7′1″</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108°9′53″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周广路与桑园村出村交叉丁字口</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34°6′47″</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108°9′39″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哑杨路（1KM+200M朗寨村—水河堡十字）</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34°11′37″</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108°4′44″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哑杨路（2KM）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34°11′48″</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108°4′52″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哑杨路（4KM+300M)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34°13′13″</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108°5′10″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哑翠一路——河堤路</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34°13′12″</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哑翠一路（0K+300M）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34°13′3″</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哑翠一路（0K+600M)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34°12′52″</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哑翠一路——X319</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34°12′26″</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哑翠一路（1K+300M)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34°12′1″</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哑翠一路（3K+500M)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34°11′22″</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乡道哑翠一路（3K+700M-4K)</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34°10′58″</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哑翠一路——G310</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34°10′41″</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哑翠一路（5KM）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34°10′35″</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哑翠一路（5KM+900M)上阳化——七曲</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34°10′5″</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108°6′22″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312县道与黄兴村出村交叉丁字口（3KM+380M)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34°7′35″</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312县道与318县道交叉十字（4KM+150M)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34°7′48″</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312县道与小麦屯村北二出村路交叉丁字口（4KM+400M)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34°7′37″</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312县道与小麦屯村北一出村丁字口（4KM+600M)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34°7′37″</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312县道与小麦屯村至永红村村道交叉十字（4KM+780M)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34°7′22″</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312县道与小麦屯村中出村路交叉丁字口（4KM+950M)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34°7′30″</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312县道与小麦屯村南一出村路交叉丁字口（5KM+100M)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34°7′37″</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312县道与小麦屯村南二出村路交叉丁字口（5KM+200M)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34°7′37″</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312县道与小麦屯村南三出村路交叉丁字口（5KM+350M)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34°7′19″</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108°10′9″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312县道与永红村一组出村路交叉丁字口（5KM+500M)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34°6′48″</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312县道与永红楼板厂交叉十字口（5KM+900M)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34°6′48″</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312县道与黑惠渠北堤路交叉十字（6KM+100M)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34°7′2″</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108°9′54″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312县道与广济村东出村路交叉丁字口（6KM+400M)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34°7′1″</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108°9′52″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250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312县道与桑园北堡交叉丁字口（6KM+550M)</w:t>
            </w:r>
          </w:p>
        </w:tc>
        <w:tc>
          <w:tcPr>
            <w:tcW w:w="3022" w:type="dxa"/>
            <w:tcBorders>
              <w:tl2br w:val="nil"/>
              <w:tr2bl w:val="nil"/>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i w:val="0"/>
                <w:iCs w:val="0"/>
                <w:color w:val="000000"/>
                <w:sz w:val="21"/>
                <w:szCs w:val="21"/>
                <w:u w:val="none"/>
              </w:rPr>
            </w:pPr>
            <w:r>
              <w:rPr>
                <w:rStyle w:val="51"/>
                <w:sz w:val="21"/>
                <w:szCs w:val="21"/>
                <w:lang w:val="en-US" w:eastAsia="zh-CN" w:bidi="ar"/>
              </w:rPr>
              <w:t>增设让行标志牌、警示灯、反光道钉</w:t>
            </w:r>
            <w:r>
              <w:rPr>
                <w:rStyle w:val="51"/>
                <w:sz w:val="21"/>
                <w:szCs w:val="21"/>
                <w:lang w:val="en-US" w:eastAsia="zh-CN" w:bidi="ar"/>
              </w:rPr>
              <w:br w:type="textWrapping"/>
            </w:r>
            <w:r>
              <w:rPr>
                <w:rStyle w:val="51"/>
                <w:sz w:val="21"/>
                <w:szCs w:val="21"/>
                <w:lang w:val="en-US" w:eastAsia="zh-CN" w:bidi="ar"/>
              </w:rPr>
              <w:t>、减速带</w:t>
            </w:r>
          </w:p>
        </w:tc>
        <w:tc>
          <w:tcPr>
            <w:tcW w:w="1466" w:type="dxa"/>
            <w:tcBorders>
              <w:tl2br w:val="nil"/>
              <w:tr2bl w:val="nil"/>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34°6′44″</w:t>
            </w:r>
          </w:p>
        </w:tc>
        <w:tc>
          <w:tcPr>
            <w:tcW w:w="1667"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51"/>
                <w:sz w:val="21"/>
                <w:szCs w:val="21"/>
                <w:lang w:val="en-US" w:eastAsia="zh-CN" w:bidi="ar"/>
              </w:rPr>
              <w:t>108°9′36″</w:t>
            </w:r>
          </w:p>
        </w:tc>
      </w:tr>
    </w:tbl>
    <w:tbl>
      <w:tblPr>
        <w:tblStyle w:val="23"/>
        <w:tblpPr w:leftFromText="180" w:rightFromText="180" w:vertAnchor="text" w:horzAnchor="page" w:tblpX="1890" w:tblpY="470"/>
        <w:tblOverlap w:val="never"/>
        <w:tblW w:w="92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83"/>
        <w:gridCol w:w="2512"/>
        <w:gridCol w:w="3033"/>
        <w:gridCol w:w="1467"/>
        <w:gridCol w:w="1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312县道与桑园村北出村路交叉丁字口（6KM+800M)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34°6′44″</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108°9′35″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312县道与广济村南十字东四出村路交叉十字</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（7KM+200M)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34°6′56″</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108°9′49″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312县道与广济村南十字东三出村路交叉十字口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（7KM+300M)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34°6′47″</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312县道与广济村南十字东二出村路交叉丁字口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（7KM+550M)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34°6′48″</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312县道与广济村南十字东一出村路交叉十字口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（7KM+800M)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34°6′48″</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312县道与广济南十字西一出村路交叉丁字口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（8KM+150M)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34°6′51″</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108°8′45″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312县道与广济南十字西二出村路交叉丁字口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（8KM+500M)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34°6′52″</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108°8′36″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312县道与广济南十字西三出村路交叉十字口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（8KM+800M)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34°6′59″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108°8′34″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312县道与师家安村东二出村路交叉丁字口（9KM+500M)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37°7′0″</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108°8′23″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312县道与师家安村至高家庄村村道交叉十字口</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（9KM+700M)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34°7′4″</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108°7′52″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312县道与师家安村东一出村路交叉丁字口（9KM+800M)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34°7′3″</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312县道与高家庄村出村路交叉丁字口（9KM+900M)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34°7′5″</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108°7′45″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312县道与师家安村中出村路交叉丁字口（9KM+950M)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34°7′3″</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312县道与四骆路交叉十字口（10KM+400M)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34°7′7″</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312县道与小留村出村路交叉丁字口（11KM+460M)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34°7′13″</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108°6′43″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312县道与南留村中出村路交叉丁字口（11KM+600M)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34°7′15″</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108°6′31″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312县道与南留村西出村路交叉十字口（11KM+850M)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34°7′17″</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312县道与向阳村至南留村村道交叉十字口（12KM)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34°7′17″</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312县道与新联村桥东路交叉丁字口（12KM+850M)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34°12′08″</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108°10′84″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周普路渭旗十字</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34°10′55″</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张村西口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34°10′48″</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周普路沿路村庄路口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34°10′48″</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周普路渭河桥南</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34°12′16″</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太白路与韦一路丁字路口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34°9′19″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太白路与周广路交汇叉口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太白路与瑞光路十字</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太白路与万景路丁字口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北大门人力市场</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108°12′28″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终周路黑河桥南口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34°17′23″</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108°36′95″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高庙村十字路口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34°16′37″</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108°24′21″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Y260与S107十字向北1.4KM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34°8′9″</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108°35′76″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Y260与S107十字北1.5KM</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34°8′18″</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108°35′82″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Y260与S108十字路口</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34°5′14″</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108°21′31″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83"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2512"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马村北街十字</w:t>
            </w:r>
          </w:p>
        </w:tc>
        <w:tc>
          <w:tcPr>
            <w:tcW w:w="3033"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增设让行标志牌、警示灯、反光道钉</w:t>
            </w:r>
            <w:r>
              <w:rPr>
                <w:rStyle w:val="53"/>
                <w:rFonts w:hint="eastAsia" w:ascii="宋体" w:hAnsi="宋体" w:eastAsia="宋体" w:cs="宋体"/>
                <w:sz w:val="21"/>
                <w:szCs w:val="21"/>
                <w:lang w:val="en-US" w:eastAsia="zh-CN" w:bidi="ar"/>
              </w:rPr>
              <w:br w:type="textWrapping"/>
            </w:r>
            <w:r>
              <w:rPr>
                <w:rStyle w:val="53"/>
                <w:rFonts w:hint="eastAsia" w:ascii="宋体" w:hAnsi="宋体" w:eastAsia="宋体" w:cs="宋体"/>
                <w:sz w:val="21"/>
                <w:szCs w:val="21"/>
                <w:lang w:val="en-US" w:eastAsia="zh-CN" w:bidi="ar"/>
              </w:rPr>
              <w:t>、减速带</w:t>
            </w:r>
          </w:p>
        </w:tc>
        <w:tc>
          <w:tcPr>
            <w:tcW w:w="14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34°10′11″</w:t>
            </w:r>
          </w:p>
        </w:tc>
        <w:tc>
          <w:tcPr>
            <w:tcW w:w="1655"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Style w:val="53"/>
                <w:rFonts w:hint="eastAsia" w:ascii="宋体" w:hAnsi="宋体" w:eastAsia="宋体" w:cs="宋体"/>
                <w:sz w:val="21"/>
                <w:szCs w:val="21"/>
                <w:lang w:val="en-US" w:eastAsia="zh-CN" w:bidi="ar"/>
              </w:rPr>
              <w:t>108°25′46″</w:t>
            </w:r>
          </w:p>
        </w:tc>
      </w:tr>
    </w:tbl>
    <w:tbl>
      <w:tblPr>
        <w:tblStyle w:val="23"/>
        <w:tblW w:w="924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6"/>
        <w:gridCol w:w="2500"/>
        <w:gridCol w:w="3050"/>
        <w:gridCol w:w="1450"/>
        <w:gridCol w:w="1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 w:hRule="atLeast"/>
        </w:trPr>
        <w:tc>
          <w:tcPr>
            <w:tcW w:w="586" w:type="dxa"/>
            <w:tcBorders>
              <w:top w:val="nil"/>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2500" w:type="dxa"/>
            <w:tcBorders>
              <w:top w:val="nil"/>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X219与S107十字</w:t>
            </w:r>
          </w:p>
        </w:tc>
        <w:tc>
          <w:tcPr>
            <w:tcW w:w="3050" w:type="dxa"/>
            <w:tcBorders>
              <w:top w:val="nil"/>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  警示灯  反光道钉、减速带</w:t>
            </w:r>
          </w:p>
        </w:tc>
        <w:tc>
          <w:tcPr>
            <w:tcW w:w="1450" w:type="dxa"/>
            <w:tcBorders>
              <w:top w:val="nil"/>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34°3′54″</w:t>
            </w:r>
          </w:p>
        </w:tc>
        <w:tc>
          <w:tcPr>
            <w:tcW w:w="1660" w:type="dxa"/>
            <w:tcBorders>
              <w:top w:val="nil"/>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X219与安寨村交叉口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X219与何家寨村交叉口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34°5′25″</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终南大道与严家堡出村路交叉口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34°6′38″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终南大道与刘家堡出村路交叉口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34°6′37″</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终南大道与邵家堡出村路交叉口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34°6′36″</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终南大道与魏家庄村出村路交叉口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34°6′33″</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108°24′34″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终南大道与薛家堡出村路交叉口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34°6′23″</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终南大道与胡家村出村路交叉口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34°6′23″</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终南大道与尚九路交叉口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34°6′24″</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107省道与余永路交叉口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34°3′46″</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107省道与张家庵出村路交叉口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34°3′56″</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107省道与虎头口村出村路交叉口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34°3′34″</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108°24′14″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107省道与南千户路交叉路口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34°3′48″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107省道与金凤出村路交叉口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34°4′5″</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107省道与集贤镇金凤农贸市场</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34°5′5″</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107省道与赵九路交叉路口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34°4′18″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107省道与终殿路交叉路口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34°4′7″</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107省道与殿镇村出村路交叉路口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34°4′12″</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107省道与安沟村出村路交叉口</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34°4′7″</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107省道257Km+100m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34°9′28″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107省道257Km+700m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34°9′31″</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107省道258Km+150m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34°9′31″</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107省道259Km+150m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34°9′22″</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107省道259Km+300m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34°9′21″</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107省道259Km+800m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34°9′16″</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107省道260Km+300m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34°9′9″</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107省道260Km+900m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107省道261Km+500m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34°8′48″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107省道263Km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34°8′8″</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107省道263Km+200m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34°8′4″</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107省道264Km+500m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34°7′37″</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107省道265Km+800m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34°7′12″</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107省道266Km+0m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34°7′11″</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ind w:firstLineChars="10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107省道266Km+450m</w:t>
            </w: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34°7′10″</w:t>
            </w:r>
          </w:p>
        </w:tc>
        <w:tc>
          <w:tcPr>
            <w:tcW w:w="1660" w:type="dxa"/>
            <w:tcBorders>
              <w:top w:val="single" w:color="000000" w:sz="4" w:space="0"/>
              <w:left w:val="single" w:color="000000" w:sz="4" w:space="0"/>
              <w:bottom w:val="single" w:color="000000" w:sz="4" w:space="0"/>
              <w:right w:val="single" w:color="D4D4D4" w:sz="4" w:space="0"/>
            </w:tcBorders>
            <w:shd w:val="clear" w:color="auto" w:fill="auto"/>
            <w:vAlign w:val="top"/>
          </w:tcPr>
          <w:p>
            <w:pPr>
              <w:keepNext w:val="0"/>
              <w:keepLines w:val="0"/>
              <w:widowControl/>
              <w:suppressLineNumbers w:val="0"/>
              <w:ind w:firstLineChars="10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nil"/>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2500" w:type="dxa"/>
            <w:tcBorders>
              <w:top w:val="single" w:color="000000" w:sz="4" w:space="0"/>
              <w:left w:val="single" w:color="000000" w:sz="4" w:space="0"/>
              <w:bottom w:val="nil"/>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107省道267Km</w:t>
            </w:r>
          </w:p>
        </w:tc>
        <w:tc>
          <w:tcPr>
            <w:tcW w:w="3050" w:type="dxa"/>
            <w:tcBorders>
              <w:top w:val="single" w:color="000000" w:sz="4" w:space="0"/>
              <w:left w:val="single" w:color="000000" w:sz="4" w:space="0"/>
              <w:bottom w:val="nil"/>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50" w:type="dxa"/>
            <w:tcBorders>
              <w:top w:val="single" w:color="000000" w:sz="4" w:space="0"/>
              <w:left w:val="single" w:color="000000" w:sz="4" w:space="0"/>
              <w:bottom w:val="nil"/>
              <w:right w:val="single" w:color="000000" w:sz="4" w:space="0"/>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34°7′9″</w:t>
            </w:r>
          </w:p>
        </w:tc>
        <w:tc>
          <w:tcPr>
            <w:tcW w:w="1660" w:type="dxa"/>
            <w:tcBorders>
              <w:top w:val="single" w:color="000000" w:sz="4" w:space="0"/>
              <w:left w:val="single" w:color="000000" w:sz="4" w:space="0"/>
              <w:bottom w:val="nil"/>
              <w:right w:val="single" w:color="D4D4D4"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108°5′18″</w:t>
            </w:r>
          </w:p>
        </w:tc>
      </w:tr>
    </w:tbl>
    <w:tbl>
      <w:tblPr>
        <w:tblStyle w:val="23"/>
        <w:tblpPr w:leftFromText="180" w:rightFromText="180" w:vertAnchor="text" w:horzAnchor="page" w:tblpX="1897" w:tblpY="14"/>
        <w:tblOverlap w:val="never"/>
        <w:tblW w:w="92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00"/>
        <w:gridCol w:w="2489"/>
        <w:gridCol w:w="3044"/>
        <w:gridCol w:w="1444"/>
        <w:gridCol w:w="1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hAnsi="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41</w:t>
            </w:r>
          </w:p>
        </w:tc>
        <w:tc>
          <w:tcPr>
            <w:tcW w:w="2489" w:type="dxa"/>
            <w:tcBorders>
              <w:tl2br w:val="nil"/>
              <w:tr2bl w:val="nil"/>
            </w:tcBorders>
            <w:shd w:val="clear" w:color="auto" w:fill="auto"/>
            <w:vAlign w:val="top"/>
          </w:tcPr>
          <w:p>
            <w:pPr>
              <w:keepNext w:val="0"/>
              <w:keepLines w:val="0"/>
              <w:widowControl/>
              <w:suppressLineNumbers w:val="0"/>
              <w:ind w:firstLineChars="4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107省道267Km+750m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34°7′3″</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108°5′49″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2489" w:type="dxa"/>
            <w:tcBorders>
              <w:tl2br w:val="nil"/>
              <w:tr2bl w:val="nil"/>
            </w:tcBorders>
            <w:shd w:val="clear" w:color="auto" w:fill="auto"/>
            <w:vAlign w:val="top"/>
          </w:tcPr>
          <w:p>
            <w:pPr>
              <w:keepNext w:val="0"/>
              <w:keepLines w:val="0"/>
              <w:widowControl/>
              <w:suppressLineNumbers w:val="0"/>
              <w:ind w:firstLineChars="4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农商街与环沙路十字</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34°9′50″</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2489"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老沙河桥十字</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34°9′50″</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2489"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汇入环沙路村道处</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34°9′50″</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2489" w:type="dxa"/>
            <w:tcBorders>
              <w:tl2br w:val="nil"/>
              <w:tr2bl w:val="nil"/>
            </w:tcBorders>
            <w:shd w:val="clear" w:color="auto" w:fill="auto"/>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108国道与221县道交叉丁字口（0KM+0M）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34°7′07″</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221县道与东火村南一出村路交叉丁字（0KM+500M）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34°7′10″</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2489" w:type="dxa"/>
            <w:tcBorders>
              <w:tl2br w:val="nil"/>
              <w:tr2bl w:val="nil"/>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221县道与东火村北出村路交叉丁字（0KM+550M）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34°7′11″</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221县道与东火村南二出村路交叉丁字口（0km+600m）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34°7′12″</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2489" w:type="dxa"/>
            <w:tcBorders>
              <w:tl2br w:val="nil"/>
              <w:tr2bl w:val="nil"/>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221县道与中兴出村道交叉十字（0km+650m）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34°7′12″</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221县道与崇耕村东出村路交叉十字口（0km+700m）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34°7′13″</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221县道与崇耕村中出村路交叉十字口（0 km+850m）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34°7′14″</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221县道与崇耕村西出村路交叉南十字口（0 km+980m）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34°7′15″</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108°18′89″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221县道与崇耕村西出村路北交叉十字口（1 km+70m）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34°7′17″</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108°18′78″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2489" w:type="dxa"/>
            <w:tcBorders>
              <w:tl2br w:val="nil"/>
              <w:tr2bl w:val="nil"/>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221县道与虎峪村出村路交叉十字口（1km+750m）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34°7′23″</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108°18′79″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221县道与枣林村与熨斗村交叉十字口（2km+550m）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34°7′51″</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108°18′26″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2489" w:type="dxa"/>
            <w:tcBorders>
              <w:tl2br w:val="nil"/>
              <w:tr2bl w:val="nil"/>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221县道与枣林村东出村路交叉十字（2km+800m）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34°7′77″</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108°17′28″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221县道与枣林村财神庙路交叉丁字口（2km+950m）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34°7′84″</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108°17′02″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221县道与枣林村中出村路交叉十字口（3km+100m）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34°7′86″</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108°16′97″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2489" w:type="dxa"/>
            <w:tcBorders>
              <w:tl2br w:val="nil"/>
              <w:tr2bl w:val="nil"/>
            </w:tcBorders>
            <w:shd w:val="clear" w:color="auto" w:fill="auto"/>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221县道与泰康路交叉丁字口（3km+350m）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34°7′93″</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108°16′79″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221县道与辛口北社区出村路交叉十字口（3km+450m）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34°8′02″</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2489" w:type="dxa"/>
            <w:tcBorders>
              <w:tl2br w:val="nil"/>
              <w:tr2bl w:val="nil"/>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221县道与辛口村出村路交叉丁字口（4km+450m）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34°8′11″</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108°16′46″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221县道与南大坪村东出村路交叉丁字口（4km+600m）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34°8′39″</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2489"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221县道与南大坪村南北一路出村路交叉十字口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（4km+850m）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34°8′46″</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221县道与南大坪村中出村路交叉十字（4KM+950m）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34°8′50″</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221县道与南大坪村南北二路交叉丁字口（5KM+150M）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34°8′55″</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2489"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221县道与南大坪村西一出村路交叉丁字口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（5KM+200M）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34°8′55″</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2489"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221县道与南大坪村南北三路出村路交叉丁字口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（5KM+400M）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34°8′60″</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221县道与南大坪村南北四路交叉十字口（5km+550m）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34°8′67″</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221县道与西寨村东出村路交叉十字口（5km+600m）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34°8′68″</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221县道与107省道环山线交叉十字口（5km+750m）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34°8′95″</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2489" w:type="dxa"/>
            <w:tcBorders>
              <w:tl2br w:val="nil"/>
              <w:tr2bl w:val="nil"/>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221县道与北大坪村南生产路交叉丁字口（6km+0m）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34°9′21″</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00" w:type="dxa"/>
            <w:tcBorders>
              <w:tl2br w:val="nil"/>
              <w:tr2bl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2489" w:type="dxa"/>
            <w:tcBorders>
              <w:tl2br w:val="nil"/>
              <w:tr2bl w:val="nil"/>
            </w:tcBorders>
            <w:shd w:val="clear" w:color="auto" w:fill="auto"/>
            <w:vAlign w:val="top"/>
          </w:tcPr>
          <w:p>
            <w:pPr>
              <w:keepNext w:val="0"/>
              <w:keepLines w:val="0"/>
              <w:widowControl/>
              <w:suppressLineNumbers w:val="0"/>
              <w:ind w:firstLineChars="1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221县道与沙河南堤路交叉十字口（6km+150m）</w:t>
            </w:r>
          </w:p>
        </w:tc>
        <w:tc>
          <w:tcPr>
            <w:tcW w:w="30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44"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34°9′29″</w:t>
            </w:r>
          </w:p>
        </w:tc>
        <w:tc>
          <w:tcPr>
            <w:tcW w:w="1667" w:type="dxa"/>
            <w:tcBorders>
              <w:tl2br w:val="nil"/>
              <w:tr2bl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108°14′63″</w:t>
            </w:r>
          </w:p>
        </w:tc>
      </w:tr>
    </w:tbl>
    <w:tbl>
      <w:tblPr>
        <w:tblStyle w:val="23"/>
        <w:tblpPr w:leftFromText="180" w:rightFromText="180" w:vertAnchor="text" w:horzAnchor="page" w:tblpX="1913" w:tblpY="858"/>
        <w:tblOverlap w:val="never"/>
        <w:tblW w:w="921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99"/>
        <w:gridCol w:w="2467"/>
        <w:gridCol w:w="3044"/>
        <w:gridCol w:w="1433"/>
        <w:gridCol w:w="1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6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221县道与沙河北堤路交叉十字口（6km+200m）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34°9′39″</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221县道与南广骆路交叉丁字口（6km+370m）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34°9′51″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221县道与北大坪村中出村路交叉丁字口（6km+560m）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34°9′61″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221县道与北大坪村北一出村路交叉丁字口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（6km+650m）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34°9′69″</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221县道与北大坪村北二出村路交叉丁字口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（6km+680m）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34°9′75″</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221县道与北大坪村北三出村路交叉丁字口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（6km+720m）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34°9′82″</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221县道与商家磨村出村路交叉十字口（7km+50m）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34°10′11″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221县道与广济村三组南三出村路交叉丁字口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（8km+200m）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34°11′37″</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221县道与广济村三组南二出村路交叉丁字口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（8km+260m）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34°11′42″</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221县道与广济村三组南一出村路交叉丁字口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（8km+500m）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34°11′47″</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乡道413-河提路</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34°13′38″</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乡道413（联庄村委十字）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34°13′12″</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乡道413路（5K+900M—6K+900M）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34°10′25″</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乡道413（8K+800M）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34°9′27″</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乡道413（9K+400M—11K）</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34°8′55″</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413（11Km+300m）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34°8′53″</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413(11Km++600m)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413(12Km—13Km)</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34°8′31″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哑竹路凤凰岭岔道</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34°8′29″</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哑竹路佛探头</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34°9′16″</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哑竹路---县道218十字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34°9′47″</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哑竹路(吕家堡   两河口十字)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34°9′54″</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东大坚村（终台超限站南100米）</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34°8′55″</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新农市场十字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34°14′81″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108°32′63″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107省道与赤峪口路口北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34°4′5″</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107省道与金凤老村委会路口北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34°4′5″</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107省道与大曲三队路口北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34°4′1″</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108°23′10″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107省道虎峰村南门楼</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34°4′46″</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终南大道与渭胡路口北</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34°6′19″</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108°27′14″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终南大道与胡家村东出村口</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34°6′23″</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终南大道与莲花寺路口</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34°6′20″</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108°26′31″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终南大道与薛家堡东出村路口</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34°6′22″</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终南大道与魏家庄东路口</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34°6′30″</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599" w:type="dxa"/>
            <w:tcBorders>
              <w:tl2br w:val="nil"/>
              <w:tr2bl w:val="nil"/>
            </w:tcBorders>
            <w:shd w:val="clear" w:color="auto" w:fill="auto"/>
            <w:noWrap/>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24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终南大道与魏家庄西出村路口</w:t>
            </w:r>
          </w:p>
        </w:tc>
        <w:tc>
          <w:tcPr>
            <w:tcW w:w="3044"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增设让行标志牌、警示灯、反光道钉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、减速带</w:t>
            </w:r>
          </w:p>
        </w:tc>
        <w:tc>
          <w:tcPr>
            <w:tcW w:w="1433"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34°6′33″</w:t>
            </w:r>
          </w:p>
        </w:tc>
        <w:tc>
          <w:tcPr>
            <w:tcW w:w="1667" w:type="dxa"/>
            <w:tcBorders>
              <w:tl2br w:val="nil"/>
              <w:tr2bl w:val="nil"/>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108°24′33″</w:t>
            </w:r>
          </w:p>
        </w:tc>
      </w:tr>
    </w:tbl>
    <w:p>
      <w:pPr>
        <w:numPr>
          <w:ilvl w:val="0"/>
          <w:numId w:val="0"/>
        </w:numPr>
        <w:spacing w:line="360" w:lineRule="auto"/>
        <w:rPr>
          <w:rFonts w:hint="eastAsia"/>
          <w:sz w:val="24"/>
        </w:rPr>
      </w:pPr>
    </w:p>
    <w:tbl>
      <w:tblPr>
        <w:tblStyle w:val="23"/>
        <w:tblW w:w="9244"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5"/>
        <w:gridCol w:w="2144"/>
        <w:gridCol w:w="12"/>
        <w:gridCol w:w="666"/>
        <w:gridCol w:w="678"/>
        <w:gridCol w:w="1067"/>
        <w:gridCol w:w="1711"/>
        <w:gridCol w:w="1400"/>
        <w:gridCol w:w="10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244" w:type="dxa"/>
            <w:gridSpan w:val="9"/>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信号灯电子警察测速违停点位表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路口名称</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方向数</w:t>
            </w:r>
          </w:p>
        </w:tc>
        <w:tc>
          <w:tcPr>
            <w:tcW w:w="67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车道数</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路口类型</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系统名称</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东经</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工业路县人民医院西十字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108.205632</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34.156439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工业路与建设南路十字（检查站十字）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108.209164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34.156393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工业路与金周鑫成（大寨子）十字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108.217738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34.156205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工业路与加州阳光小区丁字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城区丁子</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108.222884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34.155836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农商街与沙河桥十字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108.227521</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34.159033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农商街与万寿南路十字子</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108.222284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34.159363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农商街与建设南路</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108.209663</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34.159733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中新街王婆寺十字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108.221819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34.161689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老城东街与沙河桥十字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108.229094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34.164936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老城东街与万寿北路十字（河南巷）</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违停</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108.222129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34.164361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县城老街与北大街十字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108.213454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34.164707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县城老街与温泉路十字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违停</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108.207497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34.165153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老城西街与石桥路十字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108.195744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34.165756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108国道与渭旗村十字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108.204924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34.181907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310国道与侯家村十字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108.177637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34.162541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北环路与富仁路十字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108.226755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34.168002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老108国道与辛家寨十字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108.242227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34.161657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310国道与朱家查十字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108.156921</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34.166709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北环路与教堂路丁字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108.213659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34.168637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工业路与周广路十字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违停</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108.200607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34.156803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310国道大寨子东路</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城区</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测速</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108.204951</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34.136101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107省道与财神庙丁字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集贤丁字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108.339827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34.073952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107省道与殿镇十字西口</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集贤十字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108.345657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34.071819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107省道与尚九路十字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集贤十字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108.417204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34.063828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trPr>
        <w:tc>
          <w:tcPr>
            <w:tcW w:w="555" w:type="dxa"/>
            <w:tcBorders>
              <w:top w:val="nil"/>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2144" w:type="dxa"/>
            <w:tcBorders>
              <w:top w:val="nil"/>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107省道与终殿路十字</w:t>
            </w:r>
          </w:p>
        </w:tc>
        <w:tc>
          <w:tcPr>
            <w:tcW w:w="678" w:type="dxa"/>
            <w:gridSpan w:val="2"/>
            <w:tcBorders>
              <w:top w:val="nil"/>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nil"/>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67" w:type="dxa"/>
            <w:tcBorders>
              <w:top w:val="nil"/>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集贤十字</w:t>
            </w:r>
          </w:p>
        </w:tc>
        <w:tc>
          <w:tcPr>
            <w:tcW w:w="1711" w:type="dxa"/>
            <w:tcBorders>
              <w:top w:val="nil"/>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nil"/>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108.357379</w:t>
            </w:r>
          </w:p>
        </w:tc>
        <w:tc>
          <w:tcPr>
            <w:tcW w:w="1011" w:type="dxa"/>
            <w:tcBorders>
              <w:top w:val="nil"/>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34.068933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318县道与终集路十字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集贤十字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180.395438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34.110005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终台路楼观新镇十字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180.322715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34.088678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318县道与由鹿路十字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180.299903</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34.114759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318县道与肖司路十字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180.271836</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34.110957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310国道与油鹿路十字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信号控制利旧（纯电警）</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108.300712</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34.141762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310国道与司肖路十字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信号控制利旧（纯电警）</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108.274015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34.142056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油鹿路与老107省道十字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108.298049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34.075391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焦镇街道中心十字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180.298827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34.093201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34</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107省道诞生观油鹿路十字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108.297941</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34.070092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107省道西楼观十字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信号控制利旧（纯电警）</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108.322226</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34.075772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107省道周一村十字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楼观十字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信号控制利旧（纯电警）</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108.259274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34.066431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37</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108国道与马广路十字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108.194098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34.071943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107省道与枣林村十字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108.168517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34.081294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107省道与东寨村十字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108.124616</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34.095535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107省道与南留村东十字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108.107345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34.107357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312道221县道（广济镇南十字）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108.146554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34.113934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318县道与四骆路十字（东欢乐村）</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108.126858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34.136601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318县道与纪家村十西字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108.223633</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34.121934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107省道与金盆村东十字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108.209446</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34.073759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108国道与红崖头十字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108.196177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34.087735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318县道与团结村十字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108.150868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34.335875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107省道马召转盘</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马召十字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信号控制利旧（纯电警）</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180.194614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34.075591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310国道六屯村侯家坡十字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108.177664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34.162541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310国道四屯十字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信号控制/违停</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108.142593</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34.169697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510</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319县道与Y270联广路十字</w:t>
            </w:r>
          </w:p>
        </w:tc>
        <w:tc>
          <w:tcPr>
            <w:tcW w:w="6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ind w:firstLineChars="20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108.163598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34.205009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51</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319县道与联二村十字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108.149114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34.206826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52</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319县道与哑翠一路十字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108.113238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34.207249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319县道与哑翠二路十字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108.091118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34.209088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54</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哑杨路与裕盛十三队十字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108.086205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34.220248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哑杨路与新白寨村十字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108.07893</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34.193848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56</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310国道与杏园村十字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108.056425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34.185687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310国道与青竹二路十字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108.033839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34.184036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107省道与西岭村十字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108.028478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34.154656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107省道与兰梅源十字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108.035608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34.150964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107省道与史务村十字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108.091732</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34.119058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61</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312县道与哑翠一路十字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108.177672</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34.162541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318县道哑翠一路十字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108.140546</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34.158948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63</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318县道哑翠二路十字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108.082007</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34.160111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64</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翠峰道班与加油站十字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108.077198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34.131788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哑杨路与裕盛村委会</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信号控制利旧（纯电警）</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108.086269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34.224944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66</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319县道联星村小学附近</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哑柏十字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测速</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108.128875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34.209239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318县道与终南解村十字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108.398154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34.146908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310国道临川寺十字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108.465946</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34.159276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319县道与富仁镇富兴村十字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108.396018</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34.188799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319县道与富仁镇二职中十字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108.365645</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34.188129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319县道与富仁镇艺术学校十字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108.275114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34.190431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318国道与终殿路十字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108.360424</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34.112249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319县道与富仁镇富仁村一组</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测速</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108.376511</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34.184409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319县道沙石卡点（两河口十字）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电子警察/信号控制</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108.461539</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34.201624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终南彩门镇十字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终南十字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信号控制/违停</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108.363242</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34.147935</w:t>
            </w:r>
          </w:p>
        </w:tc>
      </w:tr>
    </w:tbl>
    <w:p>
      <w:pPr>
        <w:numPr>
          <w:ilvl w:val="0"/>
          <w:numId w:val="0"/>
        </w:numPr>
        <w:spacing w:line="360" w:lineRule="auto"/>
        <w:rPr>
          <w:rFonts w:hint="eastAsia"/>
          <w:sz w:val="24"/>
        </w:rPr>
      </w:pPr>
    </w:p>
    <w:p>
      <w:pPr>
        <w:pStyle w:val="4"/>
        <w:numPr>
          <w:ilvl w:val="1"/>
          <w:numId w:val="9"/>
        </w:numPr>
        <w:rPr>
          <w:rFonts w:hint="eastAsia" w:ascii="宋体" w:hAnsi="宋体"/>
          <w:sz w:val="28"/>
          <w:szCs w:val="28"/>
        </w:rPr>
      </w:pPr>
      <w:bookmarkStart w:id="46" w:name="_Toc16538"/>
      <w:bookmarkStart w:id="47" w:name="_Toc320"/>
      <w:bookmarkStart w:id="48" w:name="_Toc30929"/>
      <w:bookmarkStart w:id="49" w:name="_Toc21887"/>
      <w:bookmarkStart w:id="50" w:name="_Toc18145"/>
      <w:r>
        <w:rPr>
          <w:rFonts w:hint="eastAsia"/>
          <w:sz w:val="28"/>
          <w:szCs w:val="28"/>
        </w:rPr>
        <w:t>本工程的特点与施工难点</w:t>
      </w:r>
      <w:bookmarkEnd w:id="46"/>
      <w:bookmarkEnd w:id="47"/>
      <w:bookmarkEnd w:id="48"/>
      <w:bookmarkEnd w:id="49"/>
      <w:bookmarkEnd w:id="50"/>
    </w:p>
    <w:p>
      <w:pPr>
        <w:pStyle w:val="5"/>
        <w:numPr>
          <w:ilvl w:val="3"/>
          <w:numId w:val="12"/>
        </w:numPr>
        <w:rPr>
          <w:rFonts w:hint="eastAsia" w:ascii="宋体" w:hAnsi="宋体" w:eastAsia="宋体" w:cs="宋体"/>
          <w:sz w:val="24"/>
          <w:szCs w:val="24"/>
        </w:rPr>
      </w:pPr>
      <w:bookmarkStart w:id="51" w:name="_Toc14294"/>
      <w:bookmarkStart w:id="52" w:name="_Toc20665"/>
      <w:r>
        <w:rPr>
          <w:rFonts w:hint="eastAsia" w:ascii="宋体" w:hAnsi="宋体" w:eastAsia="宋体" w:cs="宋体"/>
          <w:sz w:val="24"/>
          <w:szCs w:val="24"/>
        </w:rPr>
        <w:t>周至县公安局交警大队道路交通安全隐患治理工程特点</w:t>
      </w:r>
      <w:bookmarkEnd w:id="51"/>
      <w:bookmarkEnd w:id="52"/>
    </w:p>
    <w:p>
      <w:pPr>
        <w:spacing w:line="360" w:lineRule="auto"/>
        <w:ind w:firstLine="480" w:firstLineChars="200"/>
        <w:rPr>
          <w:rFonts w:hint="eastAsia"/>
          <w:sz w:val="24"/>
        </w:rPr>
      </w:pPr>
      <w:r>
        <w:rPr>
          <w:rFonts w:hint="eastAsia" w:ascii="宋体" w:hAnsi="宋体"/>
          <w:sz w:val="24"/>
        </w:rPr>
        <w:t>周至县公安局交警大队道路交通安全隐患治理</w:t>
      </w:r>
      <w:r>
        <w:rPr>
          <w:rFonts w:hint="eastAsia"/>
          <w:sz w:val="24"/>
        </w:rPr>
        <w:t>工程是一项</w:t>
      </w:r>
      <w:r>
        <w:rPr>
          <w:rFonts w:hint="eastAsia"/>
          <w:sz w:val="24"/>
          <w:lang w:val="en-US" w:eastAsia="zh-CN"/>
        </w:rPr>
        <w:t>分散的</w:t>
      </w:r>
      <w:r>
        <w:rPr>
          <w:rFonts w:hint="eastAsia"/>
          <w:sz w:val="24"/>
        </w:rPr>
        <w:t>系统工程，而且是一个复杂的</w:t>
      </w:r>
      <w:r>
        <w:rPr>
          <w:rFonts w:hint="eastAsia"/>
          <w:sz w:val="24"/>
          <w:lang w:val="en-US" w:eastAsia="zh-CN"/>
        </w:rPr>
        <w:t>庞大</w:t>
      </w:r>
      <w:r>
        <w:rPr>
          <w:rFonts w:hint="eastAsia"/>
          <w:sz w:val="24"/>
        </w:rPr>
        <w:t>系统。</w:t>
      </w:r>
    </w:p>
    <w:p>
      <w:pPr>
        <w:spacing w:line="360" w:lineRule="auto"/>
        <w:ind w:firstLine="480" w:firstLineChars="200"/>
        <w:rPr>
          <w:rFonts w:hint="eastAsia"/>
          <w:b/>
          <w:sz w:val="24"/>
        </w:rPr>
      </w:pPr>
      <w:r>
        <w:rPr>
          <w:rFonts w:hint="eastAsia" w:ascii="宋体" w:hAnsi="宋体"/>
          <w:sz w:val="24"/>
        </w:rPr>
        <w:t>周至县公安局交警大队道路交通安全隐患治理</w:t>
      </w:r>
      <w:r>
        <w:rPr>
          <w:rFonts w:hint="eastAsia"/>
          <w:sz w:val="24"/>
        </w:rPr>
        <w:t>工程</w:t>
      </w:r>
      <w:r>
        <w:rPr>
          <w:rFonts w:hint="eastAsia" w:ascii="宋体" w:hAnsi="宋体"/>
          <w:sz w:val="24"/>
        </w:rPr>
        <w:t>具有如下几个特点：</w:t>
      </w:r>
    </w:p>
    <w:p>
      <w:pPr>
        <w:numPr>
          <w:ilvl w:val="0"/>
          <w:numId w:val="13"/>
        </w:numPr>
        <w:spacing w:line="360" w:lineRule="auto"/>
        <w:ind w:left="1100" w:leftChars="0" w:hanging="420" w:firstLineChars="0"/>
        <w:rPr>
          <w:rFonts w:hint="eastAsia"/>
          <w:sz w:val="24"/>
        </w:rPr>
      </w:pPr>
      <w:r>
        <w:rPr>
          <w:rFonts w:hint="eastAsia"/>
          <w:sz w:val="24"/>
        </w:rPr>
        <w:t>科技含量高：</w:t>
      </w:r>
      <w:r>
        <w:rPr>
          <w:rFonts w:hint="eastAsia" w:ascii="宋体" w:hAnsi="宋体"/>
          <w:sz w:val="24"/>
        </w:rPr>
        <w:t>周至县公安局交警大队道路交通安全隐患治理</w:t>
      </w:r>
      <w:r>
        <w:rPr>
          <w:rFonts w:hint="eastAsia"/>
          <w:sz w:val="24"/>
        </w:rPr>
        <w:t>工程中包含交叉口和路段的信号控制系统、闯红灯违法抓拍系统（电子警察）、卡口系统以及沿线管线、窨井系统</w:t>
      </w:r>
      <w:r>
        <w:rPr>
          <w:rFonts w:hint="eastAsia"/>
          <w:sz w:val="24"/>
          <w:lang w:eastAsia="zh-CN"/>
        </w:rPr>
        <w:t>、</w:t>
      </w:r>
      <w:r>
        <w:rPr>
          <w:rFonts w:hint="eastAsia"/>
          <w:sz w:val="24"/>
          <w:lang w:val="en-US" w:eastAsia="zh-CN"/>
        </w:rPr>
        <w:t>标识标线系统、装饰装修系统</w:t>
      </w:r>
      <w:r>
        <w:rPr>
          <w:rFonts w:hint="eastAsia"/>
          <w:sz w:val="24"/>
        </w:rPr>
        <w:t>六项子系统，每个子系统均是</w:t>
      </w:r>
      <w:r>
        <w:rPr>
          <w:rFonts w:hint="eastAsia"/>
          <w:sz w:val="24"/>
          <w:lang w:val="en-US" w:eastAsia="zh-CN"/>
        </w:rPr>
        <w:t>高技术的专业</w:t>
      </w:r>
      <w:r>
        <w:rPr>
          <w:rFonts w:hint="eastAsia"/>
          <w:sz w:val="24"/>
        </w:rPr>
        <w:t>系统。</w:t>
      </w:r>
    </w:p>
    <w:p>
      <w:pPr>
        <w:numPr>
          <w:ilvl w:val="0"/>
          <w:numId w:val="13"/>
        </w:numPr>
        <w:spacing w:line="360" w:lineRule="auto"/>
        <w:ind w:left="1100" w:leftChars="0" w:hanging="420" w:firstLineChars="0"/>
        <w:rPr>
          <w:rFonts w:hint="eastAsia" w:ascii="宋体" w:hAnsi="宋体"/>
          <w:sz w:val="24"/>
        </w:rPr>
      </w:pPr>
      <w:r>
        <w:rPr>
          <w:rFonts w:ascii="宋体" w:hAnsi="宋体" w:cs="Arial"/>
          <w:color w:val="000000"/>
          <w:sz w:val="24"/>
        </w:rPr>
        <w:t>工程复杂性强</w:t>
      </w:r>
      <w:r>
        <w:rPr>
          <w:rFonts w:hint="eastAsia" w:ascii="宋体" w:hAnsi="宋体"/>
          <w:sz w:val="24"/>
        </w:rPr>
        <w:t>：周至县公安局交警大队道路交通安全隐患治理</w:t>
      </w:r>
      <w:r>
        <w:rPr>
          <w:rFonts w:hint="eastAsia"/>
          <w:sz w:val="24"/>
        </w:rPr>
        <w:t>工程</w:t>
      </w:r>
      <w:r>
        <w:rPr>
          <w:rFonts w:ascii="宋体" w:hAnsi="宋体" w:cs="Arial"/>
          <w:color w:val="000000"/>
          <w:sz w:val="24"/>
        </w:rPr>
        <w:t>融合了当今电子技术、通讯技术、网络技术、计算机技术、自动控制技术、传感器技术等一系列先进科学技术，具有知识集成程度高、科技含量大、专业分工细、施工人员素质要求高、施工精细、关键工序、关键质量控制点多等特点。同时施工器具、设备及技术措施要求严格。系统配套产品多，</w:t>
      </w:r>
      <w:r>
        <w:rPr>
          <w:rFonts w:hint="eastAsia" w:ascii="宋体" w:hAnsi="宋体" w:cs="Arial"/>
          <w:color w:val="000000"/>
          <w:sz w:val="24"/>
          <w:lang w:val="en-US" w:eastAsia="zh-CN"/>
        </w:rPr>
        <w:t>精密</w:t>
      </w:r>
      <w:r>
        <w:rPr>
          <w:rFonts w:ascii="宋体" w:hAnsi="宋体" w:cs="Arial"/>
          <w:color w:val="000000"/>
          <w:sz w:val="24"/>
        </w:rPr>
        <w:t>设备多，分供方多，供货管理和信息集成难度大。</w:t>
      </w:r>
    </w:p>
    <w:p>
      <w:pPr>
        <w:numPr>
          <w:ilvl w:val="0"/>
          <w:numId w:val="13"/>
        </w:numPr>
        <w:spacing w:line="360" w:lineRule="auto"/>
        <w:ind w:left="1100" w:leftChars="0" w:hanging="420" w:firstLineChars="0"/>
        <w:rPr>
          <w:rFonts w:hint="eastAsia" w:ascii="宋体" w:hAnsi="宋体"/>
          <w:sz w:val="24"/>
        </w:rPr>
      </w:pPr>
      <w:r>
        <w:rPr>
          <w:rFonts w:ascii="宋体" w:hAnsi="宋体" w:cs="Arial"/>
          <w:color w:val="000000"/>
          <w:sz w:val="24"/>
        </w:rPr>
        <w:t>施工受约束性强，作业空间大，工程配合多</w:t>
      </w:r>
      <w:r>
        <w:rPr>
          <w:rFonts w:hint="eastAsia" w:ascii="宋体" w:hAnsi="宋体" w:cs="Arial"/>
          <w:color w:val="000000"/>
          <w:sz w:val="24"/>
          <w:lang w:eastAsia="zh-CN"/>
        </w:rPr>
        <w:t>（</w:t>
      </w:r>
      <w:r>
        <w:rPr>
          <w:rFonts w:ascii="宋体" w:hAnsi="宋体" w:cs="Arial"/>
          <w:color w:val="000000"/>
          <w:sz w:val="24"/>
        </w:rPr>
        <w:t>施工受</w:t>
      </w:r>
      <w:r>
        <w:rPr>
          <w:rFonts w:hint="eastAsia" w:ascii="宋体" w:hAnsi="宋体" w:cs="Arial"/>
          <w:color w:val="000000"/>
          <w:sz w:val="24"/>
          <w:lang w:val="en-US" w:eastAsia="zh-CN"/>
        </w:rPr>
        <w:t>多个市政管理部门</w:t>
      </w:r>
      <w:r>
        <w:rPr>
          <w:rFonts w:ascii="宋体" w:hAnsi="宋体" w:cs="Arial"/>
          <w:color w:val="000000"/>
          <w:sz w:val="24"/>
        </w:rPr>
        <w:t>、</w:t>
      </w:r>
      <w:r>
        <w:rPr>
          <w:rFonts w:hint="eastAsia" w:ascii="宋体" w:hAnsi="宋体" w:cs="Arial"/>
          <w:color w:val="000000"/>
          <w:sz w:val="24"/>
          <w:lang w:val="en-US" w:eastAsia="zh-CN"/>
        </w:rPr>
        <w:t>人流车流</w:t>
      </w:r>
      <w:r>
        <w:rPr>
          <w:rFonts w:ascii="宋体" w:hAnsi="宋体" w:cs="Arial"/>
          <w:color w:val="000000"/>
          <w:sz w:val="24"/>
        </w:rPr>
        <w:t>、</w:t>
      </w:r>
      <w:r>
        <w:rPr>
          <w:rFonts w:hint="eastAsia" w:ascii="宋体" w:hAnsi="宋体" w:cs="Arial"/>
          <w:color w:val="000000"/>
          <w:sz w:val="24"/>
          <w:lang w:val="en-US" w:eastAsia="zh-CN"/>
        </w:rPr>
        <w:t>天气状况等多方面的</w:t>
      </w:r>
      <w:r>
        <w:rPr>
          <w:rFonts w:ascii="宋体" w:hAnsi="宋体" w:cs="Arial"/>
          <w:color w:val="000000"/>
          <w:sz w:val="24"/>
        </w:rPr>
        <w:t>制约</w:t>
      </w:r>
      <w:r>
        <w:rPr>
          <w:rFonts w:hint="eastAsia" w:ascii="宋体" w:hAnsi="宋体" w:cs="Arial"/>
          <w:color w:val="000000"/>
          <w:sz w:val="24"/>
          <w:lang w:eastAsia="zh-CN"/>
        </w:rPr>
        <w:t>）</w:t>
      </w:r>
      <w:r>
        <w:rPr>
          <w:rFonts w:ascii="宋体" w:hAnsi="宋体" w:cs="Arial"/>
          <w:color w:val="000000"/>
          <w:sz w:val="24"/>
        </w:rPr>
        <w:t>，很难控制。作业空间从室内到室外，从地下到地上，均有作业点，作业面积大，分散作业多。工种配合多</w:t>
      </w:r>
      <w:r>
        <w:rPr>
          <w:rFonts w:hint="eastAsia" w:ascii="宋体" w:hAnsi="宋体" w:cs="Arial"/>
          <w:color w:val="000000"/>
          <w:sz w:val="24"/>
        </w:rPr>
        <w:t>，</w:t>
      </w:r>
      <w:r>
        <w:rPr>
          <w:rFonts w:hint="eastAsia" w:ascii="宋体" w:hAnsi="宋体" w:cs="Arial"/>
          <w:color w:val="000000"/>
          <w:sz w:val="24"/>
          <w:lang w:val="en-US" w:eastAsia="zh-CN"/>
        </w:rPr>
        <w:t>需要</w:t>
      </w:r>
      <w:r>
        <w:rPr>
          <w:rFonts w:ascii="宋体" w:hAnsi="宋体" w:cs="Arial"/>
          <w:color w:val="000000"/>
          <w:sz w:val="24"/>
        </w:rPr>
        <w:t>电气</w:t>
      </w:r>
      <w:r>
        <w:rPr>
          <w:rFonts w:hint="eastAsia" w:ascii="宋体" w:hAnsi="宋体" w:cs="Arial"/>
          <w:color w:val="000000"/>
          <w:sz w:val="24"/>
          <w:lang w:val="en-US" w:eastAsia="zh-CN"/>
        </w:rPr>
        <w:t>安装</w:t>
      </w:r>
      <w:r>
        <w:rPr>
          <w:rFonts w:ascii="宋体" w:hAnsi="宋体" w:cs="Arial"/>
          <w:color w:val="000000"/>
          <w:sz w:val="24"/>
        </w:rPr>
        <w:t>、土建、</w:t>
      </w:r>
      <w:r>
        <w:rPr>
          <w:rFonts w:hint="eastAsia" w:ascii="宋体" w:hAnsi="宋体" w:cs="Arial"/>
          <w:color w:val="000000"/>
          <w:sz w:val="24"/>
          <w:lang w:val="en-US" w:eastAsia="zh-CN"/>
        </w:rPr>
        <w:t>装饰装修</w:t>
      </w:r>
      <w:r>
        <w:rPr>
          <w:rFonts w:ascii="宋体" w:hAnsi="宋体" w:cs="Arial"/>
          <w:color w:val="000000"/>
          <w:sz w:val="24"/>
        </w:rPr>
        <w:t>、</w:t>
      </w:r>
      <w:r>
        <w:rPr>
          <w:rFonts w:hint="eastAsia" w:ascii="宋体" w:hAnsi="宋体" w:cs="Arial"/>
          <w:color w:val="000000"/>
          <w:sz w:val="24"/>
          <w:lang w:val="en-US" w:eastAsia="zh-CN"/>
        </w:rPr>
        <w:t>标识标线</w:t>
      </w:r>
      <w:r>
        <w:rPr>
          <w:rFonts w:ascii="宋体" w:hAnsi="宋体" w:cs="Arial"/>
          <w:color w:val="000000"/>
          <w:sz w:val="24"/>
        </w:rPr>
        <w:t>等</w:t>
      </w:r>
      <w:r>
        <w:rPr>
          <w:rFonts w:hint="eastAsia" w:ascii="宋体" w:hAnsi="宋体" w:cs="Arial"/>
          <w:color w:val="000000"/>
          <w:sz w:val="24"/>
          <w:lang w:val="en-US" w:eastAsia="zh-CN"/>
        </w:rPr>
        <w:t>多个工种通力</w:t>
      </w:r>
      <w:r>
        <w:rPr>
          <w:rFonts w:ascii="宋体" w:hAnsi="宋体" w:cs="Arial"/>
          <w:color w:val="000000"/>
          <w:sz w:val="24"/>
        </w:rPr>
        <w:t>配合。</w:t>
      </w:r>
    </w:p>
    <w:p>
      <w:pPr>
        <w:numPr>
          <w:ilvl w:val="0"/>
          <w:numId w:val="13"/>
        </w:numPr>
        <w:spacing w:line="360" w:lineRule="auto"/>
        <w:ind w:left="1100" w:leftChars="0" w:hanging="420" w:firstLineChars="0"/>
        <w:rPr>
          <w:rFonts w:hint="eastAsia" w:ascii="宋体" w:hAnsi="宋体"/>
          <w:sz w:val="24"/>
        </w:rPr>
      </w:pPr>
      <w:r>
        <w:rPr>
          <w:rFonts w:ascii="宋体" w:hAnsi="宋体" w:cs="Arial"/>
          <w:color w:val="000000"/>
          <w:sz w:val="24"/>
        </w:rPr>
        <w:t>与政府部门、主管部门联系多</w:t>
      </w:r>
      <w:r>
        <w:rPr>
          <w:rFonts w:hint="eastAsia" w:ascii="宋体" w:hAnsi="宋体" w:cs="Arial"/>
          <w:color w:val="000000"/>
          <w:sz w:val="24"/>
          <w:lang w:eastAsia="zh-CN"/>
        </w:rPr>
        <w:t>，</w:t>
      </w:r>
      <w:r>
        <w:rPr>
          <w:rFonts w:ascii="宋体" w:hAnsi="宋体" w:cs="Arial"/>
          <w:color w:val="000000"/>
          <w:sz w:val="24"/>
        </w:rPr>
        <w:t>要与公安</w:t>
      </w:r>
      <w:r>
        <w:rPr>
          <w:rFonts w:hint="eastAsia" w:ascii="宋体" w:hAnsi="宋体" w:cs="Arial"/>
          <w:color w:val="000000"/>
          <w:sz w:val="24"/>
        </w:rPr>
        <w:t>部门、</w:t>
      </w:r>
      <w:r>
        <w:rPr>
          <w:rFonts w:hint="eastAsia" w:ascii="宋体" w:hAnsi="宋体" w:cs="Arial"/>
          <w:color w:val="000000"/>
          <w:sz w:val="24"/>
          <w:lang w:val="en-US" w:eastAsia="zh-CN"/>
        </w:rPr>
        <w:t>市政部门、</w:t>
      </w:r>
      <w:r>
        <w:rPr>
          <w:rFonts w:hint="eastAsia" w:ascii="宋体" w:hAnsi="宋体" w:cs="Arial"/>
          <w:color w:val="000000"/>
          <w:sz w:val="24"/>
        </w:rPr>
        <w:t>消防部门、</w:t>
      </w:r>
      <w:r>
        <w:rPr>
          <w:rFonts w:ascii="宋体" w:hAnsi="宋体" w:cs="Arial"/>
          <w:color w:val="000000"/>
          <w:sz w:val="24"/>
        </w:rPr>
        <w:t>技术部门、质检部门、电信部门取得联系，申办许可证以及协商工程验收事宜等。</w:t>
      </w:r>
    </w:p>
    <w:p>
      <w:pPr>
        <w:pStyle w:val="5"/>
        <w:numPr>
          <w:ilvl w:val="3"/>
          <w:numId w:val="12"/>
        </w:numPr>
        <w:rPr>
          <w:rFonts w:hint="eastAsia" w:ascii="宋体" w:hAnsi="宋体" w:eastAsia="宋体" w:cs="宋体"/>
          <w:sz w:val="24"/>
          <w:szCs w:val="24"/>
        </w:rPr>
      </w:pPr>
      <w:bookmarkStart w:id="53" w:name="_Toc14091"/>
      <w:bookmarkStart w:id="54" w:name="_Toc12589"/>
      <w:r>
        <w:rPr>
          <w:rFonts w:hint="eastAsia" w:ascii="宋体" w:hAnsi="宋体" w:eastAsia="宋体" w:cs="宋体"/>
          <w:sz w:val="24"/>
          <w:szCs w:val="24"/>
        </w:rPr>
        <w:t>周至县公安局交警大队道路交通安全隐患治理工程难点</w:t>
      </w:r>
      <w:bookmarkEnd w:id="53"/>
      <w:bookmarkEnd w:id="54"/>
    </w:p>
    <w:p>
      <w:pPr>
        <w:numPr>
          <w:ilvl w:val="0"/>
          <w:numId w:val="14"/>
        </w:numPr>
        <w:spacing w:line="360" w:lineRule="auto"/>
        <w:rPr>
          <w:rFonts w:hint="eastAsia"/>
          <w:sz w:val="24"/>
        </w:rPr>
      </w:pPr>
      <w:r>
        <w:rPr>
          <w:rFonts w:hint="eastAsia"/>
          <w:sz w:val="24"/>
        </w:rPr>
        <w:t>工期保障难：</w:t>
      </w:r>
      <w:r>
        <w:rPr>
          <w:rFonts w:ascii="宋体" w:hAnsi="宋体" w:cs="Arial"/>
          <w:color w:val="000000"/>
          <w:sz w:val="24"/>
        </w:rPr>
        <w:t>施工受</w:t>
      </w:r>
      <w:r>
        <w:rPr>
          <w:rFonts w:hint="eastAsia" w:ascii="宋体" w:hAnsi="宋体" w:cs="Arial"/>
          <w:color w:val="000000"/>
          <w:sz w:val="24"/>
          <w:lang w:val="en-US" w:eastAsia="zh-CN"/>
        </w:rPr>
        <w:t>交通、天气、</w:t>
      </w:r>
      <w:r>
        <w:rPr>
          <w:rFonts w:ascii="宋体" w:hAnsi="宋体" w:cs="Arial"/>
          <w:color w:val="000000"/>
          <w:sz w:val="24"/>
        </w:rPr>
        <w:t>土建、</w:t>
      </w:r>
      <w:r>
        <w:rPr>
          <w:rFonts w:hint="eastAsia" w:ascii="宋体" w:hAnsi="宋体" w:cs="Arial"/>
          <w:color w:val="000000"/>
          <w:sz w:val="24"/>
        </w:rPr>
        <w:t>强电、</w:t>
      </w:r>
      <w:r>
        <w:rPr>
          <w:rFonts w:ascii="宋体" w:hAnsi="宋体" w:cs="Arial"/>
          <w:color w:val="000000"/>
          <w:sz w:val="24"/>
        </w:rPr>
        <w:t>设备安装、内装饰制约，</w:t>
      </w:r>
      <w:r>
        <w:rPr>
          <w:rFonts w:hint="eastAsia" w:ascii="宋体" w:hAnsi="宋体" w:cs="Arial"/>
          <w:color w:val="000000"/>
          <w:sz w:val="24"/>
        </w:rPr>
        <w:t>须交叉配合，任何一环不具备条件都会影响到施工工期</w:t>
      </w:r>
      <w:r>
        <w:rPr>
          <w:rFonts w:ascii="宋体" w:hAnsi="宋体" w:cs="Arial"/>
          <w:color w:val="000000"/>
          <w:sz w:val="24"/>
        </w:rPr>
        <w:t>。</w:t>
      </w:r>
    </w:p>
    <w:p>
      <w:pPr>
        <w:numPr>
          <w:ilvl w:val="0"/>
          <w:numId w:val="14"/>
        </w:numPr>
        <w:spacing w:line="360" w:lineRule="auto"/>
        <w:rPr>
          <w:rFonts w:hint="eastAsia" w:ascii="宋体" w:hAnsi="宋体"/>
          <w:sz w:val="24"/>
        </w:rPr>
      </w:pPr>
      <w:r>
        <w:rPr>
          <w:rFonts w:hint="eastAsia" w:ascii="宋体" w:hAnsi="宋体" w:cs="Arial"/>
          <w:color w:val="000000"/>
          <w:sz w:val="24"/>
        </w:rPr>
        <w:t>工程施工协调难</w:t>
      </w:r>
      <w:r>
        <w:rPr>
          <w:rFonts w:hint="eastAsia" w:ascii="宋体" w:hAnsi="宋体"/>
          <w:sz w:val="24"/>
        </w:rPr>
        <w:t>：</w:t>
      </w:r>
      <w:r>
        <w:rPr>
          <w:rFonts w:hint="eastAsia" w:ascii="宋体" w:hAnsi="宋体"/>
          <w:sz w:val="24"/>
          <w:lang w:val="en-US" w:eastAsia="zh-CN"/>
        </w:rPr>
        <w:t>本</w:t>
      </w:r>
      <w:r>
        <w:rPr>
          <w:rFonts w:ascii="宋体" w:hAnsi="宋体" w:cs="Arial"/>
          <w:color w:val="000000"/>
          <w:sz w:val="24"/>
        </w:rPr>
        <w:t>工程</w:t>
      </w:r>
      <w:r>
        <w:rPr>
          <w:rFonts w:hint="eastAsia" w:ascii="宋体" w:hAnsi="宋体" w:cs="Arial"/>
          <w:color w:val="000000"/>
          <w:sz w:val="24"/>
        </w:rPr>
        <w:t>十分复杂，不但要协调好弱电各个工种工序而且还要协调好相关的土建、强电、</w:t>
      </w:r>
      <w:r>
        <w:rPr>
          <w:rFonts w:ascii="宋体" w:hAnsi="宋体" w:cs="Arial"/>
          <w:color w:val="000000"/>
          <w:sz w:val="24"/>
        </w:rPr>
        <w:t>设备安装、</w:t>
      </w:r>
      <w:r>
        <w:rPr>
          <w:rFonts w:hint="eastAsia" w:ascii="宋体" w:hAnsi="宋体" w:cs="Arial"/>
          <w:color w:val="000000"/>
          <w:sz w:val="24"/>
          <w:lang w:val="en-US" w:eastAsia="zh-CN"/>
        </w:rPr>
        <w:t>临电</w:t>
      </w:r>
      <w:r>
        <w:rPr>
          <w:rFonts w:hint="eastAsia" w:ascii="宋体" w:hAnsi="宋体" w:cs="Arial"/>
          <w:color w:val="000000"/>
          <w:sz w:val="24"/>
        </w:rPr>
        <w:t>等单位。</w:t>
      </w:r>
    </w:p>
    <w:p>
      <w:pPr>
        <w:numPr>
          <w:ilvl w:val="0"/>
          <w:numId w:val="14"/>
        </w:numPr>
        <w:spacing w:line="360" w:lineRule="auto"/>
        <w:rPr>
          <w:rFonts w:hint="eastAsia" w:ascii="宋体" w:hAnsi="宋体"/>
          <w:sz w:val="24"/>
        </w:rPr>
      </w:pPr>
      <w:r>
        <w:rPr>
          <w:rFonts w:hint="eastAsia" w:ascii="宋体" w:hAnsi="宋体" w:cs="Arial"/>
          <w:color w:val="000000"/>
          <w:sz w:val="24"/>
        </w:rPr>
        <w:t>成品保护难：系统设备价值高、体积小而且分散极易丢失被盗，因此在不具备安全条件的情况下不可轻易安装。线路如果被破坏不能简单对接只能重新布线，否则无法通过测试。</w:t>
      </w:r>
    </w:p>
    <w:p>
      <w:pPr>
        <w:numPr>
          <w:ilvl w:val="0"/>
          <w:numId w:val="14"/>
        </w:numPr>
        <w:spacing w:line="360" w:lineRule="auto"/>
        <w:rPr>
          <w:rFonts w:hint="eastAsia" w:ascii="宋体" w:hAnsi="宋体"/>
          <w:sz w:val="24"/>
        </w:rPr>
      </w:pPr>
      <w:r>
        <w:rPr>
          <w:rFonts w:hint="eastAsia" w:ascii="宋体" w:hAnsi="宋体" w:cs="Arial"/>
          <w:color w:val="000000"/>
          <w:sz w:val="24"/>
        </w:rPr>
        <w:t>调试难：系统设备种类繁多且调节点较多，要使系统达到设计要求必须逐点逐个设备进行反复调试使各个设备正常工作达到最佳效果。</w:t>
      </w:r>
    </w:p>
    <w:p>
      <w:pPr>
        <w:pStyle w:val="5"/>
        <w:numPr>
          <w:ilvl w:val="3"/>
          <w:numId w:val="12"/>
        </w:numPr>
        <w:rPr>
          <w:rFonts w:hint="eastAsia" w:ascii="宋体" w:hAnsi="宋体" w:eastAsia="宋体"/>
          <w:sz w:val="24"/>
          <w:szCs w:val="24"/>
        </w:rPr>
      </w:pPr>
      <w:bookmarkStart w:id="55" w:name="_Toc1637"/>
      <w:bookmarkStart w:id="56" w:name="_Toc22945"/>
      <w:bookmarkStart w:id="57" w:name="_Toc93674440"/>
      <w:r>
        <w:rPr>
          <w:rFonts w:ascii="宋体" w:hAnsi="宋体" w:eastAsia="宋体" w:cs="Arial"/>
          <w:bCs w:val="0"/>
          <w:color w:val="000000"/>
          <w:sz w:val="24"/>
        </w:rPr>
        <w:t>工程项目管理体制</w:t>
      </w:r>
      <w:bookmarkEnd w:id="55"/>
      <w:bookmarkEnd w:id="56"/>
    </w:p>
    <w:bookmarkEnd w:id="57"/>
    <w:p>
      <w:pPr>
        <w:spacing w:line="360" w:lineRule="auto"/>
        <w:ind w:firstLine="480" w:firstLineChars="200"/>
        <w:rPr>
          <w:rFonts w:hint="eastAsia" w:ascii="宋体" w:hAnsi="宋体" w:cs="Arial"/>
          <w:color w:val="000000"/>
          <w:sz w:val="24"/>
        </w:rPr>
      </w:pPr>
      <w:r>
        <w:rPr>
          <w:rFonts w:ascii="宋体" w:hAnsi="宋体" w:cs="Arial"/>
          <w:color w:val="000000"/>
          <w:sz w:val="24"/>
        </w:rPr>
        <w:t>我公司自成立之日起就专业</w:t>
      </w:r>
      <w:r>
        <w:rPr>
          <w:rFonts w:hint="eastAsia" w:ascii="宋体" w:hAnsi="宋体" w:cs="Arial"/>
          <w:color w:val="000000"/>
          <w:sz w:val="24"/>
          <w:lang w:val="en-US" w:eastAsia="zh-CN"/>
        </w:rPr>
        <w:t>从事机电安装、装饰装修、钢结构、道路交通设施等</w:t>
      </w:r>
      <w:r>
        <w:rPr>
          <w:rFonts w:ascii="宋体" w:hAnsi="宋体" w:cs="Arial"/>
          <w:color w:val="000000"/>
          <w:sz w:val="24"/>
        </w:rPr>
        <w:t>工程的建设，公司在项目管理上遵循ISO900</w:t>
      </w:r>
      <w:r>
        <w:rPr>
          <w:rFonts w:hint="eastAsia" w:ascii="宋体" w:hAnsi="宋体" w:cs="Arial"/>
          <w:color w:val="000000"/>
          <w:sz w:val="24"/>
        </w:rPr>
        <w:t>2安装工程</w:t>
      </w:r>
      <w:r>
        <w:rPr>
          <w:rFonts w:ascii="宋体" w:hAnsi="宋体" w:cs="Arial"/>
          <w:color w:val="000000"/>
          <w:sz w:val="24"/>
        </w:rPr>
        <w:t>质量</w:t>
      </w:r>
      <w:r>
        <w:rPr>
          <w:rFonts w:hint="eastAsia" w:ascii="宋体" w:hAnsi="宋体" w:cs="Arial"/>
          <w:color w:val="000000"/>
          <w:sz w:val="24"/>
        </w:rPr>
        <w:t>管理</w:t>
      </w:r>
      <w:r>
        <w:rPr>
          <w:rFonts w:ascii="宋体" w:hAnsi="宋体" w:cs="Arial"/>
          <w:color w:val="000000"/>
          <w:sz w:val="24"/>
        </w:rPr>
        <w:t>体系，专门成立了项目管理部，对工程项目实施全方位管理，并建立了“工程项目管理流程”（工程项目管理流程</w:t>
      </w:r>
      <w:r>
        <w:rPr>
          <w:rFonts w:hint="eastAsia" w:ascii="宋体" w:hAnsi="宋体" w:cs="Arial"/>
          <w:color w:val="000000"/>
          <w:sz w:val="24"/>
        </w:rPr>
        <w:t>见附图1</w:t>
      </w:r>
      <w:r>
        <w:rPr>
          <w:rFonts w:ascii="宋体" w:hAnsi="宋体" w:cs="Arial"/>
          <w:color w:val="000000"/>
          <w:sz w:val="24"/>
        </w:rPr>
        <w:t>），对每个项目都实施全过程的监控和管理。由于有了行之有效的管理机制，我公司所实施的各个工程项目均取得了优良的效果。</w:t>
      </w:r>
    </w:p>
    <w:p>
      <w:pPr>
        <w:spacing w:line="360" w:lineRule="auto"/>
        <w:ind w:firstLine="480" w:firstLineChars="200"/>
        <w:rPr>
          <w:rFonts w:hint="eastAsia" w:ascii="宋体" w:hAnsi="宋体" w:cs="Arial"/>
          <w:color w:val="000000"/>
          <w:sz w:val="24"/>
        </w:rPr>
      </w:pPr>
      <w:r>
        <w:rPr>
          <w:rFonts w:ascii="宋体" w:hAnsi="宋体" w:cs="Arial"/>
          <w:color w:val="000000"/>
          <w:sz w:val="24"/>
        </w:rPr>
        <w:t>我公司采取的是在项目管理部督导下的项目经理责任制，目的是建立项目管理组织机制和激励机制。同时执行项目管理目标责任制，目的是建立项目管理的效益机制和约束机制。对于本工程，公司十分重视，鉴于本工程工期特别紧、质量要求高，公司为了更好地调动公司内技术、人力、资金、资源，更有效地处理各种突发事件，同时组织一个富有经验、高效管理、作风过硬的工程项目管理团队，对工程项目实施规范管理。</w:t>
      </w:r>
    </w:p>
    <w:p>
      <w:pPr>
        <w:rPr>
          <w:rFonts w:hint="eastAsia" w:ascii="宋体" w:hAnsi="宋体" w:cs="Arial"/>
          <w:color w:val="000000"/>
          <w:sz w:val="24"/>
        </w:rPr>
      </w:pPr>
      <w:r>
        <w:rPr>
          <w:rFonts w:hint="eastAsia" w:ascii="宋体" w:hAnsi="宋体" w:cs="Arial"/>
          <w:color w:val="000000"/>
          <w:sz w:val="24"/>
        </w:rPr>
        <w:br w:type="page"/>
      </w:r>
    </w:p>
    <w:p>
      <w:pPr>
        <w:spacing w:line="360" w:lineRule="auto"/>
        <w:jc w:val="center"/>
        <w:rPr>
          <w:rFonts w:hint="eastAsia" w:ascii="宋体" w:hAnsi="宋体" w:cs="Arial"/>
          <w:color w:val="000000"/>
          <w:sz w:val="24"/>
        </w:rPr>
      </w:pPr>
      <w:r>
        <w:pict>
          <v:shape id="_x0000_s1163" o:spid="_x0000_s1163" o:spt="75" type="#_x0000_t75" style="position:absolute;left:0pt;margin-left:1.75pt;margin-top:17.55pt;height:613.4pt;width:414.85pt;z-index:251659264;mso-width-relative:page;mso-height-relative:page;" o:ole="t" filled="f" o:preferrelative="t" stroked="f" coordsize="21600,21600">
            <v:path/>
            <v:fill on="f" focussize="0,0"/>
            <v:stroke on="f"/>
            <v:imagedata r:id="rId5" o:title=""/>
            <o:lock v:ext="edit" aspectratio="t"/>
          </v:shape>
          <o:OLEObject Type="Embed" ProgID="" ShapeID="_x0000_s1163" DrawAspect="Content" ObjectID="_1468075725" r:id="rId4">
            <o:LockedField>false</o:LockedField>
          </o:OLEObject>
        </w:pict>
      </w:r>
      <w:r>
        <w:rPr>
          <w:rFonts w:hint="eastAsia" w:ascii="宋体" w:hAnsi="宋体" w:cs="Arial"/>
          <w:color w:val="000000"/>
          <w:sz w:val="24"/>
        </w:rPr>
        <w:t>附图1：</w:t>
      </w:r>
      <w:r>
        <w:rPr>
          <w:rFonts w:ascii="宋体" w:hAnsi="宋体" w:cs="Arial"/>
          <w:color w:val="000000"/>
          <w:sz w:val="24"/>
        </w:rPr>
        <w:t>工程项目管理流程图</w:t>
      </w: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pStyle w:val="5"/>
        <w:numPr>
          <w:ilvl w:val="3"/>
          <w:numId w:val="12"/>
        </w:numPr>
        <w:rPr>
          <w:rFonts w:hint="eastAsia" w:ascii="宋体" w:hAnsi="宋体" w:eastAsia="宋体"/>
          <w:sz w:val="24"/>
          <w:szCs w:val="24"/>
        </w:rPr>
      </w:pPr>
      <w:bookmarkStart w:id="58" w:name="_Toc14707"/>
      <w:bookmarkStart w:id="59" w:name="_Toc93674441"/>
      <w:bookmarkStart w:id="60" w:name="_Toc3562"/>
      <w:r>
        <w:rPr>
          <w:rFonts w:ascii="宋体" w:hAnsi="宋体" w:eastAsia="宋体" w:cs="Arial"/>
          <w:bCs w:val="0"/>
          <w:color w:val="000000"/>
        </w:rPr>
        <w:t>工程项目施工</w:t>
      </w:r>
      <w:r>
        <w:rPr>
          <w:rFonts w:hint="eastAsia" w:ascii="宋体" w:hAnsi="宋体" w:eastAsia="宋体" w:cs="Arial"/>
          <w:bCs w:val="0"/>
          <w:color w:val="000000"/>
        </w:rPr>
        <w:t>过</w:t>
      </w:r>
      <w:r>
        <w:rPr>
          <w:rFonts w:ascii="宋体" w:hAnsi="宋体" w:eastAsia="宋体" w:cs="Arial"/>
          <w:bCs w:val="0"/>
          <w:color w:val="000000"/>
        </w:rPr>
        <w:t>程</w:t>
      </w:r>
      <w:bookmarkEnd w:id="58"/>
      <w:bookmarkEnd w:id="59"/>
      <w:bookmarkEnd w:id="60"/>
    </w:p>
    <w:p>
      <w:pPr>
        <w:spacing w:line="360" w:lineRule="auto"/>
        <w:ind w:firstLine="480"/>
        <w:rPr>
          <w:rFonts w:ascii="宋体" w:hAnsi="宋体" w:cs="Arial"/>
          <w:color w:val="000000"/>
          <w:sz w:val="24"/>
        </w:rPr>
      </w:pPr>
      <w:r>
        <w:rPr>
          <w:rFonts w:ascii="宋体" w:hAnsi="宋体" w:cs="Arial"/>
          <w:color w:val="000000"/>
          <w:sz w:val="24"/>
        </w:rPr>
        <w:t>本工程实施过程分为七个阶段：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深化设计、确定阶段；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材料设备订货、采购阶段及施工前准备阶段；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管</w:t>
      </w:r>
      <w:r>
        <w:rPr>
          <w:rFonts w:hint="eastAsia" w:ascii="宋体" w:hAnsi="宋体" w:cs="Arial"/>
          <w:color w:val="000000"/>
          <w:sz w:val="24"/>
          <w:lang w:val="en-US" w:eastAsia="zh-CN"/>
        </w:rPr>
        <w:t>路</w:t>
      </w:r>
      <w:r>
        <w:rPr>
          <w:rFonts w:ascii="宋体" w:hAnsi="宋体" w:cs="Arial"/>
          <w:color w:val="000000"/>
          <w:sz w:val="24"/>
        </w:rPr>
        <w:t>敷设、线缆敷设阶段；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设备安装、调试阶段；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预验收和试运行阶段；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验收阶段；</w:t>
      </w:r>
    </w:p>
    <w:p>
      <w:pPr>
        <w:numPr>
          <w:ilvl w:val="6"/>
          <w:numId w:val="15"/>
        </w:numPr>
        <w:tabs>
          <w:tab w:val="left" w:pos="1200"/>
          <w:tab w:val="left" w:pos="2160"/>
          <w:tab w:val="clear" w:pos="2880"/>
        </w:tabs>
        <w:spacing w:line="360" w:lineRule="auto"/>
        <w:ind w:left="1260" w:firstLine="360" w:firstLineChars="150"/>
        <w:rPr>
          <w:rFonts w:ascii="宋体" w:hAnsi="宋体" w:cs="Arial"/>
          <w:color w:val="000000"/>
          <w:sz w:val="24"/>
        </w:rPr>
      </w:pPr>
      <w:r>
        <w:rPr>
          <w:rFonts w:ascii="宋体" w:hAnsi="宋体" w:cs="Arial"/>
          <w:color w:val="000000"/>
          <w:sz w:val="24"/>
        </w:rPr>
        <w:t>系统维护（售后服务）阶段；</w:t>
      </w:r>
    </w:p>
    <w:p>
      <w:pPr>
        <w:spacing w:line="360" w:lineRule="auto"/>
        <w:ind w:firstLine="480" w:firstLineChars="200"/>
        <w:rPr>
          <w:rFonts w:hint="eastAsia" w:ascii="宋体" w:hAnsi="宋体"/>
        </w:rPr>
      </w:pPr>
      <w:r>
        <w:rPr>
          <w:rFonts w:ascii="宋体" w:hAnsi="宋体" w:cs="Arial"/>
          <w:color w:val="000000"/>
          <w:sz w:val="24"/>
        </w:rPr>
        <w:t>由于各子系统在实施中进行统一安排及调试，故这七个阶段贯穿在各子系统的施工中。</w:t>
      </w:r>
    </w:p>
    <w:p>
      <w:pPr>
        <w:pStyle w:val="2"/>
        <w:numPr>
          <w:ilvl w:val="0"/>
          <w:numId w:val="2"/>
        </w:numPr>
        <w:jc w:val="center"/>
        <w:rPr>
          <w:rFonts w:hint="eastAsia" w:cs="Arial"/>
          <w:bCs w:val="0"/>
          <w:color w:val="000000"/>
          <w:sz w:val="32"/>
          <w:szCs w:val="32"/>
        </w:rPr>
      </w:pPr>
      <w:bookmarkStart w:id="61" w:name="_Toc93674442"/>
      <w:r>
        <w:rPr>
          <w:rFonts w:cs="Arial"/>
          <w:bCs w:val="0"/>
          <w:color w:val="000000"/>
          <w:sz w:val="32"/>
          <w:szCs w:val="32"/>
        </w:rPr>
        <w:br w:type="page"/>
      </w:r>
      <w:bookmarkStart w:id="62" w:name="_Toc22920"/>
      <w:bookmarkStart w:id="63" w:name="_Toc31848"/>
      <w:bookmarkStart w:id="64" w:name="_Toc26338"/>
      <w:bookmarkStart w:id="65" w:name="_Toc27542"/>
      <w:bookmarkStart w:id="66" w:name="_Toc1236"/>
      <w:r>
        <w:rPr>
          <w:rFonts w:cs="Arial"/>
          <w:bCs w:val="0"/>
          <w:color w:val="000000"/>
          <w:sz w:val="32"/>
          <w:szCs w:val="32"/>
        </w:rPr>
        <w:t>施工部署</w:t>
      </w:r>
      <w:bookmarkEnd w:id="61"/>
      <w:bookmarkEnd w:id="62"/>
      <w:bookmarkEnd w:id="63"/>
      <w:bookmarkEnd w:id="64"/>
      <w:bookmarkEnd w:id="65"/>
      <w:bookmarkEnd w:id="66"/>
    </w:p>
    <w:p>
      <w:pPr>
        <w:spacing w:line="360" w:lineRule="auto"/>
        <w:ind w:firstLine="480" w:firstLineChars="200"/>
        <w:rPr>
          <w:rFonts w:hint="eastAsia" w:ascii="宋体" w:hAnsi="宋体"/>
        </w:rPr>
      </w:pPr>
      <w:r>
        <w:rPr>
          <w:rFonts w:ascii="宋体" w:hAnsi="宋体" w:cs="Arial"/>
          <w:sz w:val="24"/>
        </w:rPr>
        <w:t>针对</w:t>
      </w:r>
      <w:r>
        <w:rPr>
          <w:rFonts w:hint="eastAsia" w:ascii="宋体" w:hAnsi="宋体"/>
          <w:sz w:val="24"/>
        </w:rPr>
        <w:t>周至县公安局交警大队道路交通安全隐患治理</w:t>
      </w:r>
      <w:r>
        <w:rPr>
          <w:rFonts w:hint="eastAsia"/>
          <w:sz w:val="24"/>
        </w:rPr>
        <w:t>工程</w:t>
      </w:r>
      <w:r>
        <w:rPr>
          <w:rFonts w:ascii="宋体" w:hAnsi="宋体" w:cs="Arial"/>
          <w:sz w:val="24"/>
        </w:rPr>
        <w:t>的特点，本着规范的施工管理，合理的施工流程，先进的施工方法，完善的组织机构建设和技术保证措施以及完善的人力、物资、后勤供应保证的原则，特做以下部署。</w:t>
      </w:r>
    </w:p>
    <w:p>
      <w:pPr>
        <w:pStyle w:val="3"/>
        <w:numPr>
          <w:ilvl w:val="1"/>
          <w:numId w:val="2"/>
        </w:numPr>
        <w:rPr>
          <w:rFonts w:hint="eastAsia" w:ascii="宋体" w:hAnsi="宋体" w:eastAsia="宋体"/>
          <w:sz w:val="30"/>
          <w:szCs w:val="30"/>
        </w:rPr>
      </w:pPr>
      <w:bookmarkStart w:id="67" w:name="_Toc93674443"/>
      <w:bookmarkStart w:id="68" w:name="_Toc16133"/>
      <w:bookmarkStart w:id="69" w:name="_Toc30530"/>
      <w:bookmarkStart w:id="70" w:name="_Toc18196"/>
      <w:bookmarkStart w:id="71" w:name="_Toc32496"/>
      <w:bookmarkStart w:id="72" w:name="_Toc23729"/>
      <w:r>
        <w:rPr>
          <w:rFonts w:ascii="宋体" w:hAnsi="宋体" w:eastAsia="宋体" w:cs="Arial"/>
          <w:bCs w:val="0"/>
          <w:color w:val="000000"/>
          <w:sz w:val="30"/>
          <w:szCs w:val="30"/>
        </w:rPr>
        <w:t>施工组织机构</w:t>
      </w:r>
      <w:bookmarkEnd w:id="67"/>
      <w:bookmarkEnd w:id="68"/>
      <w:bookmarkEnd w:id="69"/>
      <w:bookmarkEnd w:id="70"/>
      <w:bookmarkEnd w:id="71"/>
      <w:bookmarkEnd w:id="72"/>
    </w:p>
    <w:p>
      <w:pPr>
        <w:pStyle w:val="4"/>
        <w:numPr>
          <w:ilvl w:val="1"/>
          <w:numId w:val="16"/>
        </w:numPr>
        <w:rPr>
          <w:rFonts w:hint="eastAsia" w:ascii="宋体" w:hAnsi="宋体"/>
          <w:sz w:val="28"/>
          <w:szCs w:val="28"/>
        </w:rPr>
      </w:pPr>
      <w:bookmarkStart w:id="73" w:name="_Toc3201"/>
      <w:bookmarkStart w:id="74" w:name="_Toc7593"/>
      <w:bookmarkStart w:id="75" w:name="_Toc1445"/>
      <w:bookmarkStart w:id="76" w:name="_Toc15733"/>
      <w:bookmarkStart w:id="77" w:name="_Toc4749"/>
      <w:r>
        <w:rPr>
          <w:rFonts w:cs="Arial"/>
          <w:bCs w:val="0"/>
          <w:color w:val="000000"/>
          <w:sz w:val="28"/>
          <w:szCs w:val="28"/>
        </w:rPr>
        <w:t>施工管理组织机构</w:t>
      </w:r>
      <w:bookmarkEnd w:id="73"/>
      <w:bookmarkEnd w:id="74"/>
      <w:bookmarkEnd w:id="75"/>
      <w:bookmarkEnd w:id="76"/>
      <w:bookmarkEnd w:id="77"/>
    </w:p>
    <w:p>
      <w:pPr>
        <w:spacing w:line="360" w:lineRule="auto"/>
        <w:ind w:firstLine="480" w:firstLineChars="200"/>
        <w:rPr>
          <w:rFonts w:ascii="宋体" w:hAnsi="宋体" w:cs="Arial"/>
          <w:color w:val="000000"/>
          <w:sz w:val="24"/>
        </w:rPr>
      </w:pPr>
      <w:r>
        <w:rPr>
          <w:rFonts w:ascii="宋体" w:hAnsi="宋体" w:cs="Arial"/>
          <w:color w:val="000000"/>
          <w:sz w:val="24"/>
        </w:rPr>
        <w:t>项目的组织结构是实施项目管理的一个基本手段， 也是开展项目管理工作的基础。针对本工程子系统多、工程量大、施工工期紧的特点，公司决定设立一级部门“项目建设部”， 项目部经理直接对公司总经理负责，以减少内部沟通、决策环节。</w:t>
      </w:r>
    </w:p>
    <w:p>
      <w:pPr>
        <w:spacing w:line="360" w:lineRule="auto"/>
        <w:ind w:firstLine="480" w:firstLineChars="200"/>
        <w:rPr>
          <w:rFonts w:hint="eastAsia" w:ascii="宋体" w:hAnsi="宋体" w:cs="Arial"/>
          <w:color w:val="000000"/>
          <w:sz w:val="24"/>
        </w:rPr>
      </w:pPr>
      <w:r>
        <w:rPr>
          <w:rFonts w:ascii="宋体" w:hAnsi="宋体" w:cs="Arial"/>
          <w:color w:val="000000"/>
          <w:sz w:val="24"/>
        </w:rPr>
        <w:t>若我公司有幸在</w:t>
      </w:r>
      <w:r>
        <w:rPr>
          <w:rFonts w:hint="eastAsia" w:ascii="宋体" w:hAnsi="宋体"/>
          <w:sz w:val="24"/>
        </w:rPr>
        <w:t>周至县公安局交警大队道路交通安全隐患治理</w:t>
      </w:r>
      <w:r>
        <w:rPr>
          <w:rFonts w:hint="eastAsia"/>
          <w:sz w:val="24"/>
        </w:rPr>
        <w:t>工程</w:t>
      </w:r>
      <w:r>
        <w:rPr>
          <w:rFonts w:hint="eastAsia" w:ascii="宋体" w:hAnsi="宋体" w:cs="Arial"/>
          <w:sz w:val="24"/>
        </w:rPr>
        <w:t>招标中</w:t>
      </w:r>
      <w:r>
        <w:rPr>
          <w:rFonts w:ascii="宋体" w:hAnsi="宋体" w:cs="Arial"/>
          <w:color w:val="000000"/>
          <w:sz w:val="24"/>
        </w:rPr>
        <w:t>中标，我公司将成立公司级的项目指挥部，设项目总指挥一名，专门负责整个项目的实施。同时将成立“</w:t>
      </w:r>
      <w:r>
        <w:rPr>
          <w:rFonts w:hint="eastAsia" w:ascii="宋体" w:hAnsi="宋体"/>
          <w:sz w:val="24"/>
        </w:rPr>
        <w:t>周至县公安局交警大队道路交通安全隐患治理</w:t>
      </w:r>
      <w:r>
        <w:rPr>
          <w:rFonts w:hint="eastAsia"/>
          <w:sz w:val="24"/>
        </w:rPr>
        <w:t>工程</w:t>
      </w:r>
      <w:r>
        <w:rPr>
          <w:rFonts w:ascii="宋体" w:hAnsi="宋体" w:cs="Arial"/>
          <w:color w:val="000000"/>
          <w:sz w:val="24"/>
        </w:rPr>
        <w:t>项目部”，采用项目经理全面负责制。保证项目的总包管理、深化设计、</w:t>
      </w:r>
      <w:r>
        <w:rPr>
          <w:rFonts w:hint="eastAsia" w:ascii="宋体" w:hAnsi="宋体" w:cs="Arial"/>
          <w:color w:val="000000"/>
          <w:sz w:val="24"/>
        </w:rPr>
        <w:t>各</w:t>
      </w:r>
      <w:r>
        <w:rPr>
          <w:rFonts w:ascii="宋体" w:hAnsi="宋体" w:cs="Arial"/>
          <w:color w:val="000000"/>
          <w:sz w:val="24"/>
        </w:rPr>
        <w:t>子系统施工工作。</w:t>
      </w:r>
    </w:p>
    <w:p>
      <w:pPr>
        <w:spacing w:line="360" w:lineRule="auto"/>
        <w:ind w:firstLine="480" w:firstLineChars="200"/>
        <w:rPr>
          <w:rFonts w:hint="eastAsia" w:ascii="宋体" w:hAnsi="宋体"/>
          <w:color w:val="000000"/>
          <w:sz w:val="24"/>
        </w:rPr>
      </w:pPr>
      <w:r>
        <w:rPr>
          <w:rFonts w:hint="eastAsia" w:ascii="宋体" w:hAnsi="宋体"/>
          <w:color w:val="000000"/>
          <w:sz w:val="24"/>
        </w:rPr>
        <w:t>本项目实行项目经理负责制。在组织机构上主要按施工、安全质量、技术三大系统配备技术骨干，这三大管理机构既分工明确，各负其责，又互相配合，相辅相成。在项目经理的直接指挥下，组成现场以施工技术为中心，以质量检测作保证的施工管理体系。</w:t>
      </w:r>
    </w:p>
    <w:p>
      <w:pPr>
        <w:spacing w:line="360" w:lineRule="auto"/>
        <w:ind w:firstLine="480" w:firstLineChars="200"/>
        <w:jc w:val="center"/>
        <w:rPr>
          <w:rFonts w:hint="eastAsia" w:ascii="宋体" w:hAnsi="宋体" w:cs="Arial"/>
          <w:color w:val="000000"/>
          <w:sz w:val="24"/>
          <w:szCs w:val="24"/>
        </w:rPr>
      </w:pPr>
    </w:p>
    <w:p>
      <w:pPr>
        <w:spacing w:line="360" w:lineRule="auto"/>
        <w:ind w:firstLine="480" w:firstLineChars="200"/>
        <w:rPr>
          <w:rFonts w:hint="eastAsia" w:ascii="宋体" w:hAnsi="宋体" w:cs="Arial"/>
          <w:color w:val="000000"/>
          <w:sz w:val="24"/>
        </w:rPr>
      </w:pPr>
    </w:p>
    <w:p>
      <w:pPr>
        <w:spacing w:line="360" w:lineRule="auto"/>
        <w:ind w:firstLine="480" w:firstLineChars="200"/>
        <w:rPr>
          <w:rFonts w:hint="eastAsia" w:ascii="宋体" w:hAnsi="宋体" w:cs="Arial"/>
          <w:color w:val="000000"/>
          <w:sz w:val="24"/>
        </w:rPr>
      </w:pPr>
    </w:p>
    <w:p>
      <w:pPr>
        <w:spacing w:line="360" w:lineRule="auto"/>
        <w:ind w:firstLine="480" w:firstLineChars="200"/>
        <w:rPr>
          <w:rFonts w:hint="eastAsia" w:ascii="宋体" w:hAnsi="宋体" w:cs="Arial"/>
          <w:color w:val="000000"/>
          <w:sz w:val="24"/>
        </w:rPr>
      </w:pPr>
    </w:p>
    <w:p>
      <w:pPr>
        <w:spacing w:line="360" w:lineRule="auto"/>
        <w:ind w:firstLine="480" w:firstLineChars="200"/>
        <w:rPr>
          <w:rFonts w:hint="eastAsia" w:ascii="宋体" w:hAnsi="宋体" w:cs="Arial"/>
          <w:color w:val="000000"/>
          <w:sz w:val="24"/>
        </w:rPr>
      </w:pPr>
    </w:p>
    <w:p>
      <w:pPr>
        <w:spacing w:line="360" w:lineRule="auto"/>
        <w:ind w:firstLine="480" w:firstLineChars="200"/>
        <w:rPr>
          <w:rFonts w:hint="eastAsia" w:ascii="宋体" w:hAnsi="宋体" w:cs="Arial"/>
          <w:color w:val="000000"/>
          <w:sz w:val="24"/>
        </w:rPr>
      </w:pPr>
    </w:p>
    <w:p>
      <w:pPr>
        <w:spacing w:line="360" w:lineRule="auto"/>
        <w:ind w:firstLine="480" w:firstLineChars="200"/>
        <w:jc w:val="center"/>
        <w:rPr>
          <w:rFonts w:hint="eastAsia" w:ascii="宋体" w:hAnsi="宋体" w:cs="Arial"/>
          <w:color w:val="000000"/>
          <w:sz w:val="24"/>
        </w:rPr>
      </w:pPr>
      <w:r>
        <w:rPr>
          <w:rFonts w:hint="eastAsia" w:ascii="宋体" w:hAnsi="宋体" w:cs="Arial"/>
          <w:color w:val="000000"/>
          <w:sz w:val="24"/>
        </w:rPr>
        <w:t>附图</w:t>
      </w:r>
      <w:r>
        <w:rPr>
          <w:rFonts w:hint="eastAsia" w:ascii="宋体" w:hAnsi="宋体" w:cs="Arial"/>
          <w:color w:val="000000"/>
          <w:sz w:val="24"/>
          <w:lang w:val="en-US" w:eastAsia="zh-CN"/>
        </w:rPr>
        <w:t>2</w:t>
      </w:r>
      <w:r>
        <w:rPr>
          <w:rFonts w:hint="eastAsia" w:ascii="宋体" w:hAnsi="宋体" w:cs="Arial"/>
          <w:color w:val="000000"/>
          <w:sz w:val="24"/>
        </w:rPr>
        <w:t>：</w:t>
      </w:r>
      <w:r>
        <w:rPr>
          <w:rFonts w:cs="Arial"/>
          <w:bCs/>
          <w:color w:val="000000"/>
          <w:sz w:val="24"/>
          <w:szCs w:val="24"/>
        </w:rPr>
        <w:t>施工管理组织机构</w:t>
      </w:r>
      <w:r>
        <w:rPr>
          <w:rFonts w:hint="eastAsia" w:cs="Arial"/>
          <w:bCs/>
          <w:color w:val="000000"/>
          <w:sz w:val="24"/>
          <w:szCs w:val="24"/>
        </w:rPr>
        <w:t>图</w:t>
      </w:r>
    </w:p>
    <w:p>
      <w:pPr>
        <w:spacing w:line="360" w:lineRule="auto"/>
        <w:rPr>
          <w:rFonts w:hint="eastAsia" w:ascii="宋体" w:hAnsi="宋体" w:eastAsia="宋体" w:cs="Arial"/>
          <w:color w:val="000000"/>
          <w:sz w:val="24"/>
          <w:lang w:eastAsia="zh-CN"/>
        </w:rPr>
      </w:pPr>
      <w:r>
        <w:rPr>
          <w:rFonts w:hint="eastAsia" w:ascii="宋体" w:hAnsi="宋体" w:eastAsia="宋体" w:cs="Arial"/>
          <w:color w:val="000000"/>
          <w:sz w:val="24"/>
          <w:lang w:eastAsia="zh-CN"/>
        </w:rPr>
        <w:drawing>
          <wp:inline distT="0" distB="0" distL="114300" distR="114300">
            <wp:extent cx="5370195" cy="2967355"/>
            <wp:effectExtent l="0" t="0" r="0" b="0"/>
            <wp:docPr id="180" name="图片 180" descr="施工管理组织机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施工管理组织机构图"/>
                    <pic:cNvPicPr>
                      <a:picLocks noChangeAspect="1"/>
                    </pic:cNvPicPr>
                  </pic:nvPicPr>
                  <pic:blipFill>
                    <a:blip r:embed="rId6">
                      <a:lum bright="-30000" contrast="48000"/>
                    </a:blip>
                    <a:srcRect l="15055" t="10775" r="38444" b="16723"/>
                    <a:stretch>
                      <a:fillRect/>
                    </a:stretch>
                  </pic:blipFill>
                  <pic:spPr>
                    <a:xfrm>
                      <a:off x="0" y="0"/>
                      <a:ext cx="5370195" cy="2967355"/>
                    </a:xfrm>
                    <a:prstGeom prst="rect">
                      <a:avLst/>
                    </a:prstGeom>
                  </pic:spPr>
                </pic:pic>
              </a:graphicData>
            </a:graphic>
          </wp:inline>
        </w:drawing>
      </w:r>
    </w:p>
    <w:p>
      <w:pPr>
        <w:pStyle w:val="4"/>
        <w:numPr>
          <w:ilvl w:val="1"/>
          <w:numId w:val="16"/>
        </w:numPr>
        <w:rPr>
          <w:rFonts w:hint="eastAsia" w:ascii="宋体" w:hAnsi="宋体"/>
          <w:sz w:val="28"/>
          <w:szCs w:val="28"/>
        </w:rPr>
      </w:pPr>
      <w:bookmarkStart w:id="78" w:name="_Toc29568"/>
      <w:bookmarkStart w:id="79" w:name="_Toc29575"/>
      <w:bookmarkStart w:id="80" w:name="_Toc9522"/>
      <w:bookmarkStart w:id="81" w:name="_Toc7885"/>
      <w:bookmarkStart w:id="82" w:name="_Toc28220"/>
      <w:r>
        <w:rPr>
          <w:rFonts w:cs="Arial"/>
          <w:bCs w:val="0"/>
          <w:color w:val="000000"/>
          <w:sz w:val="28"/>
          <w:szCs w:val="28"/>
        </w:rPr>
        <w:t>施工管理组织机构主要人员一览表</w:t>
      </w:r>
      <w:bookmarkEnd w:id="78"/>
      <w:bookmarkEnd w:id="79"/>
      <w:bookmarkEnd w:id="80"/>
      <w:bookmarkEnd w:id="81"/>
      <w:bookmarkEnd w:id="82"/>
    </w:p>
    <w:tbl>
      <w:tblPr>
        <w:tblStyle w:val="23"/>
        <w:tblW w:w="8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15"/>
        <w:gridCol w:w="1080"/>
        <w:gridCol w:w="720"/>
        <w:gridCol w:w="1980"/>
        <w:gridCol w:w="1301"/>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项目职务</w:t>
            </w:r>
          </w:p>
        </w:tc>
        <w:tc>
          <w:tcPr>
            <w:tcW w:w="1080" w:type="dxa"/>
            <w:noWrap/>
            <w:tcMar>
              <w:top w:w="15" w:type="dxa"/>
              <w:left w:w="15" w:type="dxa"/>
              <w:bottom w:w="0" w:type="dxa"/>
              <w:right w:w="15"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姓名</w:t>
            </w:r>
          </w:p>
        </w:tc>
        <w:tc>
          <w:tcPr>
            <w:tcW w:w="720" w:type="dxa"/>
            <w:noWrap/>
            <w:tcMar>
              <w:top w:w="15" w:type="dxa"/>
              <w:left w:w="15" w:type="dxa"/>
              <w:bottom w:w="0" w:type="dxa"/>
              <w:right w:w="15"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性别</w:t>
            </w:r>
          </w:p>
        </w:tc>
        <w:tc>
          <w:tcPr>
            <w:tcW w:w="1980" w:type="dxa"/>
            <w:noWrap/>
            <w:tcMar>
              <w:top w:w="15" w:type="dxa"/>
              <w:left w:w="15" w:type="dxa"/>
              <w:bottom w:w="0" w:type="dxa"/>
              <w:right w:w="15"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公司职务</w:t>
            </w:r>
          </w:p>
        </w:tc>
        <w:tc>
          <w:tcPr>
            <w:tcW w:w="1301" w:type="dxa"/>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职称</w:t>
            </w:r>
          </w:p>
        </w:tc>
        <w:tc>
          <w:tcPr>
            <w:tcW w:w="1459" w:type="dxa"/>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项目总指挥</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项目总工</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项目副经理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项目副经理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bCs/>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bCs/>
                <w:color w:val="000000"/>
                <w:sz w:val="21"/>
                <w:szCs w:val="21"/>
              </w:rPr>
            </w:pPr>
          </w:p>
        </w:tc>
        <w:tc>
          <w:tcPr>
            <w:tcW w:w="1459" w:type="dxa"/>
            <w:noWrap w:val="0"/>
            <w:vAlign w:val="center"/>
          </w:tcPr>
          <w:p>
            <w:pPr>
              <w:jc w:val="center"/>
              <w:rPr>
                <w:rFonts w:hint="eastAsia" w:ascii="宋体" w:hAnsi="宋体" w:eastAsia="宋体" w:cs="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项目副经理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项目副经理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项目副经理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项目副经理</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安全员</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质量员</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资料</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预算</w:t>
            </w:r>
            <w:r>
              <w:rPr>
                <w:rFonts w:hint="eastAsia" w:ascii="宋体" w:hAnsi="宋体" w:eastAsia="宋体" w:cs="宋体"/>
                <w:color w:val="000000"/>
                <w:sz w:val="21"/>
                <w:szCs w:val="21"/>
              </w:rPr>
              <w:t>员</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材料</w:t>
            </w:r>
            <w:r>
              <w:rPr>
                <w:rFonts w:hint="eastAsia" w:ascii="宋体" w:hAnsi="宋体" w:eastAsia="宋体" w:cs="宋体"/>
                <w:color w:val="000000"/>
                <w:sz w:val="21"/>
                <w:szCs w:val="21"/>
              </w:rPr>
              <w:t>员</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后勤</w:t>
            </w:r>
            <w:r>
              <w:rPr>
                <w:rFonts w:hint="eastAsia" w:ascii="宋体" w:hAnsi="宋体" w:eastAsia="宋体" w:cs="宋体"/>
                <w:color w:val="000000"/>
                <w:sz w:val="21"/>
                <w:szCs w:val="21"/>
              </w:rPr>
              <w:t>员</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1815"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施工</w:t>
            </w:r>
            <w:r>
              <w:rPr>
                <w:rFonts w:hint="eastAsia" w:ascii="宋体" w:hAnsi="宋体" w:eastAsia="宋体" w:cs="宋体"/>
                <w:color w:val="000000"/>
                <w:sz w:val="21"/>
                <w:szCs w:val="21"/>
                <w:lang w:val="en-US" w:eastAsia="zh-CN"/>
              </w:rPr>
              <w:t>劳务</w:t>
            </w:r>
            <w:r>
              <w:rPr>
                <w:rFonts w:hint="eastAsia" w:ascii="宋体" w:hAnsi="宋体" w:eastAsia="宋体" w:cs="宋体"/>
                <w:color w:val="000000"/>
                <w:sz w:val="21"/>
                <w:szCs w:val="21"/>
              </w:rPr>
              <w:t>队长</w:t>
            </w:r>
          </w:p>
        </w:tc>
        <w:tc>
          <w:tcPr>
            <w:tcW w:w="10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72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980" w:type="dxa"/>
            <w:noWrap/>
            <w:tcMar>
              <w:top w:w="15" w:type="dxa"/>
              <w:left w:w="15" w:type="dxa"/>
              <w:bottom w:w="0" w:type="dxa"/>
              <w:right w:w="15" w:type="dxa"/>
            </w:tcMar>
            <w:vAlign w:val="center"/>
          </w:tcPr>
          <w:p>
            <w:pPr>
              <w:jc w:val="center"/>
              <w:rPr>
                <w:rFonts w:hint="eastAsia" w:ascii="宋体" w:hAnsi="宋体" w:eastAsia="宋体" w:cs="宋体"/>
                <w:color w:val="000000"/>
                <w:sz w:val="21"/>
                <w:szCs w:val="21"/>
              </w:rPr>
            </w:pPr>
          </w:p>
        </w:tc>
        <w:tc>
          <w:tcPr>
            <w:tcW w:w="1301" w:type="dxa"/>
            <w:noWrap w:val="0"/>
            <w:vAlign w:val="center"/>
          </w:tcPr>
          <w:p>
            <w:pPr>
              <w:jc w:val="center"/>
              <w:rPr>
                <w:rFonts w:hint="eastAsia" w:ascii="宋体" w:hAnsi="宋体" w:eastAsia="宋体" w:cs="宋体"/>
                <w:color w:val="000000"/>
                <w:sz w:val="21"/>
                <w:szCs w:val="21"/>
              </w:rPr>
            </w:pPr>
          </w:p>
        </w:tc>
        <w:tc>
          <w:tcPr>
            <w:tcW w:w="1459" w:type="dxa"/>
            <w:noWrap w:val="0"/>
            <w:vAlign w:val="center"/>
          </w:tcPr>
          <w:p>
            <w:pPr>
              <w:jc w:val="center"/>
              <w:rPr>
                <w:rFonts w:hint="eastAsia" w:ascii="宋体" w:hAnsi="宋体" w:eastAsia="宋体" w:cs="宋体"/>
                <w:color w:val="000000"/>
                <w:sz w:val="21"/>
                <w:szCs w:val="21"/>
              </w:rPr>
            </w:pPr>
          </w:p>
        </w:tc>
      </w:tr>
    </w:tbl>
    <w:p>
      <w:pPr>
        <w:jc w:val="left"/>
        <w:rPr>
          <w:rFonts w:hint="eastAsia" w:cs="Arial"/>
          <w:bCs/>
          <w:color w:val="000000"/>
          <w:sz w:val="24"/>
        </w:rPr>
      </w:pPr>
    </w:p>
    <w:p>
      <w:pPr>
        <w:pStyle w:val="4"/>
        <w:numPr>
          <w:ilvl w:val="1"/>
          <w:numId w:val="16"/>
        </w:numPr>
        <w:rPr>
          <w:rFonts w:hint="eastAsia" w:ascii="宋体" w:hAnsi="宋体"/>
          <w:sz w:val="28"/>
          <w:szCs w:val="28"/>
        </w:rPr>
      </w:pPr>
      <w:bookmarkStart w:id="83" w:name="_Toc4161"/>
      <w:bookmarkStart w:id="84" w:name="_Toc23014"/>
      <w:bookmarkStart w:id="85" w:name="_Toc12354"/>
      <w:bookmarkStart w:id="86" w:name="_Toc25055"/>
      <w:bookmarkStart w:id="87" w:name="_Toc7434"/>
      <w:r>
        <w:rPr>
          <w:rFonts w:cs="Arial"/>
          <w:bCs w:val="0"/>
          <w:color w:val="000000"/>
          <w:sz w:val="24"/>
          <w:szCs w:val="24"/>
        </w:rPr>
        <w:t>主要管理岗位主要职责描述</w:t>
      </w:r>
      <w:bookmarkEnd w:id="83"/>
      <w:bookmarkEnd w:id="84"/>
      <w:bookmarkEnd w:id="85"/>
      <w:bookmarkEnd w:id="86"/>
      <w:bookmarkEnd w:id="87"/>
    </w:p>
    <w:p>
      <w:pPr>
        <w:numPr>
          <w:ilvl w:val="0"/>
          <w:numId w:val="17"/>
        </w:numPr>
        <w:spacing w:line="360" w:lineRule="auto"/>
        <w:rPr>
          <w:rFonts w:ascii="宋体" w:hAnsi="宋体" w:cs="Arial"/>
          <w:color w:val="000000"/>
          <w:sz w:val="24"/>
        </w:rPr>
      </w:pPr>
      <w:r>
        <w:rPr>
          <w:rFonts w:ascii="宋体" w:hAnsi="宋体" w:cs="Arial"/>
          <w:color w:val="000000"/>
          <w:sz w:val="24"/>
        </w:rPr>
        <w:t>项目总指挥</w:t>
      </w:r>
      <w:r>
        <w:rPr>
          <w:rFonts w:hint="eastAsia" w:ascii="宋体" w:hAnsi="宋体" w:cs="Arial"/>
          <w:color w:val="000000"/>
          <w:sz w:val="24"/>
          <w:lang w:eastAsia="zh-CN"/>
        </w:rPr>
        <w:t>（</w:t>
      </w:r>
      <w:r>
        <w:rPr>
          <w:rFonts w:hint="eastAsia" w:ascii="宋体" w:hAnsi="宋体" w:cs="Arial"/>
          <w:color w:val="000000"/>
          <w:sz w:val="24"/>
          <w:lang w:val="en-US" w:eastAsia="zh-CN"/>
        </w:rPr>
        <w:t>1人</w:t>
      </w:r>
      <w:r>
        <w:rPr>
          <w:rFonts w:hint="eastAsia" w:ascii="宋体" w:hAnsi="宋体" w:cs="Arial"/>
          <w:color w:val="000000"/>
          <w:sz w:val="24"/>
          <w:lang w:eastAsia="zh-CN"/>
        </w:rPr>
        <w:t>）</w:t>
      </w:r>
      <w:r>
        <w:rPr>
          <w:rFonts w:ascii="宋体" w:hAnsi="宋体" w:cs="Arial"/>
          <w:color w:val="000000"/>
          <w:sz w:val="24"/>
        </w:rPr>
        <w:t>：公司负责人，从总体把握整个工程的策划、实施，并有效调配公司的技术、人力、奖金等资源，确保工程项目工期及质量等目标的完成。</w:t>
      </w:r>
    </w:p>
    <w:p>
      <w:pPr>
        <w:numPr>
          <w:ilvl w:val="0"/>
          <w:numId w:val="17"/>
        </w:numPr>
        <w:spacing w:line="360" w:lineRule="auto"/>
        <w:rPr>
          <w:rFonts w:ascii="宋体" w:hAnsi="宋体" w:cs="Arial"/>
          <w:color w:val="000000"/>
          <w:sz w:val="24"/>
        </w:rPr>
      </w:pPr>
      <w:r>
        <w:rPr>
          <w:rFonts w:ascii="宋体" w:hAnsi="宋体" w:cs="Arial"/>
          <w:color w:val="000000"/>
          <w:sz w:val="24"/>
        </w:rPr>
        <w:t>项目经理</w:t>
      </w:r>
      <w:r>
        <w:rPr>
          <w:rFonts w:hint="eastAsia" w:ascii="宋体" w:hAnsi="宋体" w:cs="Arial"/>
          <w:color w:val="000000"/>
          <w:sz w:val="24"/>
          <w:lang w:eastAsia="zh-CN"/>
        </w:rPr>
        <w:t>（</w:t>
      </w:r>
      <w:r>
        <w:rPr>
          <w:rFonts w:hint="eastAsia" w:ascii="宋体" w:hAnsi="宋体" w:cs="Arial"/>
          <w:color w:val="000000"/>
          <w:sz w:val="24"/>
          <w:lang w:val="en-US" w:eastAsia="zh-CN"/>
        </w:rPr>
        <w:t>1人</w:t>
      </w:r>
      <w:r>
        <w:rPr>
          <w:rFonts w:hint="eastAsia" w:ascii="宋体" w:hAnsi="宋体" w:cs="Arial"/>
          <w:color w:val="000000"/>
          <w:sz w:val="24"/>
          <w:lang w:eastAsia="zh-CN"/>
        </w:rPr>
        <w:t>）</w:t>
      </w:r>
      <w:r>
        <w:rPr>
          <w:rFonts w:ascii="宋体" w:hAnsi="宋体" w:cs="Arial"/>
          <w:color w:val="000000"/>
          <w:sz w:val="24"/>
        </w:rPr>
        <w:t>：</w:t>
      </w:r>
    </w:p>
    <w:p>
      <w:pPr>
        <w:numPr>
          <w:ilvl w:val="0"/>
          <w:numId w:val="18"/>
        </w:numPr>
        <w:spacing w:line="360" w:lineRule="auto"/>
        <w:ind w:left="678" w:leftChars="100" w:hanging="338" w:hangingChars="141"/>
        <w:rPr>
          <w:rFonts w:ascii="宋体" w:hAnsi="宋体" w:eastAsia="宋体" w:cs="宋体"/>
          <w:spacing w:val="-3"/>
          <w:sz w:val="24"/>
          <w:szCs w:val="24"/>
        </w:rPr>
      </w:pPr>
      <w:r>
        <w:rPr>
          <w:rFonts w:ascii="宋体" w:hAnsi="宋体" w:cs="Arial"/>
          <w:color w:val="000000"/>
          <w:sz w:val="24"/>
        </w:rPr>
        <w:t>具有大型工程项目管理与实施经验。项目第一负责人，全面负责项目部的工作。</w:t>
      </w:r>
      <w:r>
        <w:rPr>
          <w:rFonts w:ascii="宋体" w:hAnsi="宋体" w:eastAsia="宋体" w:cs="宋体"/>
          <w:spacing w:val="-1"/>
          <w:sz w:val="24"/>
          <w:szCs w:val="24"/>
        </w:rPr>
        <w:t>作为公司在本项目全权代表，全面负责协调用户、设计、监理等各方面的关系；确</w:t>
      </w:r>
      <w:r>
        <w:rPr>
          <w:rFonts w:ascii="宋体" w:hAnsi="宋体" w:eastAsia="宋体" w:cs="宋体"/>
          <w:spacing w:val="-3"/>
          <w:sz w:val="24"/>
          <w:szCs w:val="24"/>
        </w:rPr>
        <w:t>保项目按照合同要求进行施工并完成合同规定的施工内容；</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确定项目组织机构，选择合适人选并上报公司主管部门批准；</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对重大问题包括实施方案、人事任免、技术措施、设备采购、资源配置、合同及设 计变更等会同公司主管部门进行决策。</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编制项目管理目标责任书，并对计划的执行负责；</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组织编制施工组织设计；按时提交项目月度工作计划和总结。</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履行《项目管理办法》中项目经理的职责，对项目实施进度、质量、安全、成本全面负责，直至项目验收交付，转入售后服务阶段。</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熟悉理解本项目工程施工合同主要条款内容，确保合同的顺利履行。</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为确保实现业主和国家、行业强制性要求， 致力于实施质量体系所必须的组织机构、 责任、程序、过程和资源的健全和完善，以促进质量体系的有效运行。</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项目经理在工程项目实施的全过程中对各类资源进行合理分配和平衡，尤其应注意 加强质量、成本控制、施工进度、材料采购、安全生产等各职能小组的协调与管理。</w:t>
      </w:r>
    </w:p>
    <w:p>
      <w:pPr>
        <w:numPr>
          <w:ilvl w:val="0"/>
          <w:numId w:val="18"/>
        </w:numPr>
        <w:spacing w:line="360" w:lineRule="auto"/>
        <w:ind w:left="678" w:leftChars="100" w:hanging="338" w:hangingChars="141"/>
        <w:rPr>
          <w:rFonts w:ascii="宋体" w:hAnsi="宋体" w:cs="Arial"/>
          <w:color w:val="000000"/>
          <w:sz w:val="24"/>
        </w:rPr>
      </w:pPr>
      <w:r>
        <w:rPr>
          <w:rFonts w:ascii="宋体" w:hAnsi="宋体" w:cs="Arial"/>
          <w:color w:val="000000"/>
          <w:sz w:val="24"/>
        </w:rPr>
        <w:t>定期组织有关人员对施工的质量/安全进行检查和评定，主持质量/安全事故分析处 理，及时向公司报告重大质量安全事故，并参与事故的调查和处理。</w:t>
      </w:r>
    </w:p>
    <w:p>
      <w:pPr>
        <w:numPr>
          <w:ilvl w:val="0"/>
          <w:numId w:val="17"/>
        </w:numPr>
        <w:spacing w:line="360" w:lineRule="auto"/>
        <w:rPr>
          <w:rFonts w:ascii="宋体" w:hAnsi="宋体" w:cs="Arial"/>
          <w:color w:val="000000"/>
          <w:sz w:val="24"/>
        </w:rPr>
      </w:pPr>
      <w:r>
        <w:rPr>
          <w:rFonts w:hint="eastAsia" w:ascii="宋体" w:hAnsi="宋体" w:cs="Arial"/>
          <w:color w:val="000000"/>
          <w:sz w:val="24"/>
          <w:lang w:val="en-US" w:eastAsia="zh-CN"/>
        </w:rPr>
        <w:t>项目总工</w:t>
      </w:r>
      <w:r>
        <w:rPr>
          <w:rFonts w:hint="eastAsia" w:ascii="宋体" w:hAnsi="宋体" w:cs="Arial"/>
          <w:color w:val="000000"/>
          <w:sz w:val="24"/>
          <w:lang w:eastAsia="zh-CN"/>
        </w:rPr>
        <w:t>（</w:t>
      </w:r>
      <w:r>
        <w:rPr>
          <w:rFonts w:hint="eastAsia" w:ascii="宋体" w:hAnsi="宋体" w:cs="Arial"/>
          <w:color w:val="000000"/>
          <w:sz w:val="24"/>
          <w:lang w:val="en-US" w:eastAsia="zh-CN"/>
        </w:rPr>
        <w:t>1人</w:t>
      </w:r>
      <w:r>
        <w:rPr>
          <w:rFonts w:hint="eastAsia" w:ascii="宋体" w:hAnsi="宋体" w:cs="Arial"/>
          <w:color w:val="000000"/>
          <w:sz w:val="24"/>
          <w:lang w:eastAsia="zh-CN"/>
        </w:rPr>
        <w:t>）</w:t>
      </w:r>
      <w:r>
        <w:rPr>
          <w:rFonts w:ascii="宋体" w:hAnsi="宋体" w:cs="Arial"/>
          <w:color w:val="000000"/>
          <w:sz w:val="24"/>
        </w:rPr>
        <w:t>：</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具有大型工程项目设计、实施经验，技术知识、技能全面。负责整个项目的</w:t>
      </w:r>
      <w:r>
        <w:rPr>
          <w:rFonts w:hint="eastAsia" w:ascii="宋体" w:hAnsi="宋体" w:cs="Arial"/>
          <w:color w:val="000000"/>
          <w:sz w:val="24"/>
          <w:lang w:val="en-US" w:eastAsia="zh-CN"/>
        </w:rPr>
        <w:t>技术管理</w:t>
      </w:r>
      <w:r>
        <w:rPr>
          <w:rFonts w:ascii="宋体" w:hAnsi="宋体" w:cs="Arial"/>
          <w:color w:val="000000"/>
          <w:sz w:val="24"/>
        </w:rPr>
        <w:t>，就以上工作对项目经理负责。</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对工程总体施工和质量负责，保证工程项目质量符合合同要求，执行承包合同中应 履行的条款。</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负责生产过程的组织与协调工作。</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负责组织编制工程的施工方案。</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负责执行规范标准及技术安全措施。</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负责工程中的各项质量工作，指导技术资料的整理、积累及移交归档。</w:t>
      </w:r>
    </w:p>
    <w:p>
      <w:pPr>
        <w:numPr>
          <w:ilvl w:val="0"/>
          <w:numId w:val="19"/>
        </w:numPr>
        <w:spacing w:line="360" w:lineRule="auto"/>
        <w:ind w:left="678" w:leftChars="100" w:hanging="338" w:hangingChars="141"/>
        <w:rPr>
          <w:rFonts w:ascii="宋体" w:hAnsi="宋体" w:cs="Arial"/>
          <w:color w:val="000000"/>
          <w:sz w:val="24"/>
        </w:rPr>
      </w:pPr>
      <w:r>
        <w:rPr>
          <w:rFonts w:ascii="宋体" w:hAnsi="宋体" w:cs="Arial"/>
          <w:color w:val="000000"/>
          <w:sz w:val="24"/>
        </w:rPr>
        <w:t>负责施工图、技术资料、质量记录的控制和管理工作。</w:t>
      </w:r>
    </w:p>
    <w:p>
      <w:pPr>
        <w:numPr>
          <w:ilvl w:val="0"/>
          <w:numId w:val="17"/>
        </w:numPr>
        <w:spacing w:line="360" w:lineRule="auto"/>
        <w:rPr>
          <w:rFonts w:ascii="宋体" w:hAnsi="宋体" w:cs="Arial"/>
          <w:color w:val="000000"/>
          <w:sz w:val="24"/>
        </w:rPr>
      </w:pPr>
      <w:r>
        <w:rPr>
          <w:rFonts w:ascii="宋体" w:hAnsi="宋体" w:cs="Arial"/>
          <w:color w:val="000000"/>
          <w:sz w:val="24"/>
        </w:rPr>
        <w:t>项目副经理</w:t>
      </w:r>
      <w:r>
        <w:rPr>
          <w:rFonts w:hint="eastAsia" w:ascii="宋体" w:hAnsi="宋体" w:cs="Arial"/>
          <w:color w:val="000000"/>
          <w:sz w:val="24"/>
          <w:lang w:eastAsia="zh-CN"/>
        </w:rPr>
        <w:t>（</w:t>
      </w:r>
      <w:r>
        <w:rPr>
          <w:rFonts w:hint="eastAsia" w:hAnsi="宋体" w:cs="Arial"/>
          <w:color w:val="000000"/>
          <w:sz w:val="24"/>
          <w:lang w:val="en-US" w:eastAsia="zh-CN"/>
        </w:rPr>
        <w:t>8</w:t>
      </w:r>
      <w:r>
        <w:rPr>
          <w:rFonts w:hint="eastAsia" w:ascii="宋体" w:hAnsi="宋体" w:cs="Arial"/>
          <w:color w:val="000000"/>
          <w:sz w:val="24"/>
          <w:lang w:val="en-US" w:eastAsia="zh-CN"/>
        </w:rPr>
        <w:t>人</w:t>
      </w:r>
      <w:r>
        <w:rPr>
          <w:rFonts w:hint="eastAsia" w:ascii="宋体" w:hAnsi="宋体" w:cs="Arial"/>
          <w:color w:val="000000"/>
          <w:sz w:val="24"/>
          <w:lang w:eastAsia="zh-CN"/>
        </w:rPr>
        <w:t>）</w:t>
      </w:r>
      <w:r>
        <w:rPr>
          <w:rFonts w:ascii="宋体" w:hAnsi="宋体" w:cs="Arial"/>
          <w:color w:val="000000"/>
          <w:sz w:val="24"/>
        </w:rPr>
        <w:t>：具有大型工程项目管理与实施经验，协助项目经理负责现场组织、实施、协调和管理工作。侧重管理协调、现场项目管理工作，并负责项目部驻现场期间的</w:t>
      </w:r>
      <w:r>
        <w:rPr>
          <w:rFonts w:hint="eastAsia" w:ascii="宋体" w:hAnsi="宋体" w:cs="Arial"/>
          <w:color w:val="000000"/>
          <w:sz w:val="24"/>
          <w:lang w:val="en-US" w:eastAsia="zh-CN"/>
        </w:rPr>
        <w:t>工程技术管理、</w:t>
      </w:r>
      <w:r>
        <w:rPr>
          <w:rFonts w:ascii="宋体" w:hAnsi="宋体" w:cs="Arial"/>
          <w:color w:val="000000"/>
          <w:sz w:val="24"/>
        </w:rPr>
        <w:t>日常事务与行政工作。</w:t>
      </w:r>
    </w:p>
    <w:p>
      <w:pPr>
        <w:numPr>
          <w:ilvl w:val="0"/>
          <w:numId w:val="17"/>
        </w:numPr>
        <w:spacing w:line="360" w:lineRule="auto"/>
        <w:rPr>
          <w:rFonts w:ascii="宋体" w:hAnsi="宋体" w:cs="Arial"/>
          <w:color w:val="000000"/>
          <w:sz w:val="24"/>
        </w:rPr>
      </w:pPr>
      <w:r>
        <w:rPr>
          <w:rFonts w:ascii="宋体" w:hAnsi="宋体" w:cs="Arial"/>
          <w:color w:val="000000"/>
          <w:sz w:val="24"/>
        </w:rPr>
        <w:t>现场技术负责人</w:t>
      </w:r>
      <w:r>
        <w:rPr>
          <w:rFonts w:hint="eastAsia" w:ascii="宋体" w:hAnsi="宋体" w:cs="Arial"/>
          <w:color w:val="000000"/>
          <w:sz w:val="24"/>
          <w:lang w:eastAsia="zh-CN"/>
        </w:rPr>
        <w:t>（</w:t>
      </w:r>
      <w:r>
        <w:rPr>
          <w:rFonts w:ascii="宋体" w:hAnsi="宋体" w:cs="Arial"/>
          <w:color w:val="000000"/>
          <w:sz w:val="24"/>
        </w:rPr>
        <w:t>项目副经理</w:t>
      </w:r>
      <w:r>
        <w:rPr>
          <w:rFonts w:hint="eastAsia" w:ascii="宋体" w:hAnsi="宋体" w:cs="Arial"/>
          <w:color w:val="000000"/>
          <w:sz w:val="24"/>
          <w:lang w:val="en-US" w:eastAsia="zh-CN"/>
        </w:rPr>
        <w:t>兼任</w:t>
      </w:r>
      <w:r>
        <w:rPr>
          <w:rFonts w:hint="eastAsia" w:ascii="宋体" w:hAnsi="宋体" w:cs="Arial"/>
          <w:color w:val="000000"/>
          <w:sz w:val="24"/>
          <w:lang w:eastAsia="zh-CN"/>
        </w:rPr>
        <w:t>）</w:t>
      </w:r>
      <w:r>
        <w:rPr>
          <w:rFonts w:ascii="宋体" w:hAnsi="宋体" w:cs="Arial"/>
          <w:color w:val="000000"/>
          <w:sz w:val="24"/>
        </w:rPr>
        <w:t>：</w:t>
      </w:r>
    </w:p>
    <w:p>
      <w:pPr>
        <w:numPr>
          <w:ilvl w:val="0"/>
          <w:numId w:val="20"/>
        </w:numPr>
        <w:spacing w:line="360" w:lineRule="auto"/>
        <w:ind w:left="678" w:leftChars="100" w:hanging="338" w:hangingChars="141"/>
        <w:rPr>
          <w:rFonts w:ascii="宋体" w:hAnsi="宋体" w:cs="Arial"/>
          <w:color w:val="000000"/>
          <w:sz w:val="24"/>
        </w:rPr>
      </w:pPr>
      <w:r>
        <w:rPr>
          <w:rFonts w:ascii="宋体" w:hAnsi="宋体" w:cs="Arial"/>
          <w:color w:val="000000"/>
          <w:sz w:val="24"/>
        </w:rPr>
        <w:t>协助项目经理负责现场工程的技术支持、协调，指导各分系统负责人开展有关技术工作。包括方案设计、施工图设计、现场安装指导、系统调试、用户培训、技术资料编写。</w:t>
      </w:r>
    </w:p>
    <w:p>
      <w:pPr>
        <w:numPr>
          <w:ilvl w:val="0"/>
          <w:numId w:val="20"/>
        </w:numPr>
        <w:spacing w:line="360" w:lineRule="auto"/>
        <w:ind w:left="678" w:leftChars="100" w:hanging="338" w:hangingChars="141"/>
        <w:rPr>
          <w:rFonts w:ascii="宋体" w:hAnsi="宋体" w:cs="Arial"/>
          <w:color w:val="000000"/>
          <w:sz w:val="24"/>
        </w:rPr>
      </w:pPr>
      <w:r>
        <w:rPr>
          <w:rFonts w:ascii="宋体" w:hAnsi="宋体" w:cs="Arial"/>
          <w:color w:val="000000"/>
          <w:sz w:val="24"/>
        </w:rPr>
        <w:t>负责施工组织设计、施工方案技术交底的工作。</w:t>
      </w:r>
    </w:p>
    <w:p>
      <w:pPr>
        <w:numPr>
          <w:ilvl w:val="0"/>
          <w:numId w:val="20"/>
        </w:numPr>
        <w:spacing w:line="360" w:lineRule="auto"/>
        <w:ind w:left="678" w:leftChars="100" w:hanging="338" w:hangingChars="141"/>
        <w:rPr>
          <w:rFonts w:ascii="宋体" w:hAnsi="宋体" w:cs="Arial"/>
          <w:color w:val="000000"/>
          <w:sz w:val="24"/>
        </w:rPr>
      </w:pPr>
      <w:r>
        <w:rPr>
          <w:rFonts w:ascii="宋体" w:hAnsi="宋体" w:cs="Arial"/>
          <w:color w:val="000000"/>
          <w:sz w:val="24"/>
        </w:rPr>
        <w:t>技术资料的收集、归档与管理；工程质量检验与工序交接、报验和施工测量；施工 图深化设计与报审工作。</w:t>
      </w:r>
    </w:p>
    <w:p>
      <w:pPr>
        <w:numPr>
          <w:ilvl w:val="0"/>
          <w:numId w:val="20"/>
        </w:numPr>
        <w:spacing w:line="360" w:lineRule="auto"/>
        <w:ind w:left="678" w:leftChars="100" w:hanging="338" w:hangingChars="141"/>
        <w:rPr>
          <w:rFonts w:ascii="宋体" w:hAnsi="宋体" w:cs="Arial"/>
          <w:color w:val="000000"/>
          <w:sz w:val="24"/>
        </w:rPr>
      </w:pPr>
      <w:r>
        <w:rPr>
          <w:rFonts w:ascii="宋体" w:hAnsi="宋体" w:cs="Arial"/>
          <w:color w:val="000000"/>
          <w:sz w:val="24"/>
        </w:rPr>
        <w:t>参加系统验收工作，制定对重点质量问题的纠正和预防措施， 参加重大质量事故分 析和处理方案的制定。</w:t>
      </w:r>
    </w:p>
    <w:p>
      <w:pPr>
        <w:numPr>
          <w:ilvl w:val="0"/>
          <w:numId w:val="17"/>
        </w:numPr>
        <w:spacing w:line="360" w:lineRule="auto"/>
        <w:rPr>
          <w:rFonts w:ascii="宋体" w:hAnsi="宋体" w:cs="Arial"/>
          <w:color w:val="000000"/>
          <w:sz w:val="24"/>
        </w:rPr>
      </w:pPr>
      <w:r>
        <w:rPr>
          <w:rFonts w:ascii="宋体" w:hAnsi="宋体" w:cs="Arial"/>
          <w:color w:val="000000"/>
          <w:sz w:val="24"/>
        </w:rPr>
        <w:t>现场工程师</w:t>
      </w:r>
      <w:r>
        <w:rPr>
          <w:rFonts w:hint="eastAsia" w:ascii="宋体" w:hAnsi="宋体" w:cs="Arial"/>
          <w:color w:val="000000"/>
          <w:sz w:val="24"/>
          <w:lang w:eastAsia="zh-CN"/>
        </w:rPr>
        <w:t>（</w:t>
      </w:r>
      <w:r>
        <w:rPr>
          <w:rFonts w:ascii="宋体" w:hAnsi="宋体" w:cs="Arial"/>
          <w:color w:val="000000"/>
          <w:sz w:val="24"/>
        </w:rPr>
        <w:t>项目副经理</w:t>
      </w:r>
      <w:r>
        <w:rPr>
          <w:rFonts w:hint="eastAsia" w:ascii="宋体" w:hAnsi="宋体" w:cs="Arial"/>
          <w:color w:val="000000"/>
          <w:sz w:val="24"/>
          <w:lang w:val="en-US" w:eastAsia="zh-CN"/>
        </w:rPr>
        <w:t>兼任</w:t>
      </w:r>
      <w:r>
        <w:rPr>
          <w:rFonts w:hint="eastAsia" w:ascii="宋体" w:hAnsi="宋体" w:cs="Arial"/>
          <w:color w:val="000000"/>
          <w:sz w:val="24"/>
          <w:lang w:eastAsia="zh-CN"/>
        </w:rPr>
        <w:t>）</w:t>
      </w:r>
      <w:r>
        <w:rPr>
          <w:rFonts w:ascii="宋体" w:hAnsi="宋体" w:cs="Arial"/>
          <w:color w:val="000000"/>
          <w:sz w:val="24"/>
        </w:rPr>
        <w:t>：负责项目现场施工管理，工程材料的采购和验收、现场签证、变更的确认，组织系统调试和用户培训。协助项目经理编制项目实施计划、施工组织设计。代表项目部协调现场各方的关系，确保项目的顺利实施。</w:t>
      </w:r>
    </w:p>
    <w:p>
      <w:pPr>
        <w:numPr>
          <w:ilvl w:val="0"/>
          <w:numId w:val="17"/>
        </w:numPr>
        <w:spacing w:line="360" w:lineRule="auto"/>
        <w:rPr>
          <w:rFonts w:ascii="宋体" w:hAnsi="宋体" w:cs="Arial"/>
          <w:color w:val="000000"/>
          <w:sz w:val="24"/>
        </w:rPr>
      </w:pPr>
      <w:r>
        <w:rPr>
          <w:rFonts w:hint="eastAsia" w:hAnsi="宋体" w:cs="Arial"/>
          <w:color w:val="000000"/>
          <w:sz w:val="24"/>
          <w:lang w:val="en-US" w:eastAsia="zh-CN"/>
        </w:rPr>
        <w:t>现场质量员</w:t>
      </w:r>
      <w:r>
        <w:rPr>
          <w:rFonts w:hint="eastAsia" w:ascii="宋体" w:hAnsi="宋体" w:cs="Arial"/>
          <w:color w:val="000000"/>
          <w:sz w:val="24"/>
          <w:lang w:eastAsia="zh-CN"/>
        </w:rPr>
        <w:t>（</w:t>
      </w:r>
      <w:r>
        <w:rPr>
          <w:rFonts w:ascii="宋体" w:hAnsi="宋体" w:cs="Arial"/>
          <w:color w:val="000000"/>
          <w:sz w:val="24"/>
        </w:rPr>
        <w:t>项目副经理</w:t>
      </w:r>
      <w:r>
        <w:rPr>
          <w:rFonts w:hint="eastAsia" w:ascii="宋体" w:hAnsi="宋体" w:cs="Arial"/>
          <w:color w:val="000000"/>
          <w:sz w:val="24"/>
          <w:lang w:val="en-US" w:eastAsia="zh-CN"/>
        </w:rPr>
        <w:t>兼任</w:t>
      </w:r>
      <w:r>
        <w:rPr>
          <w:rFonts w:hint="eastAsia" w:ascii="宋体" w:hAnsi="宋体" w:cs="Arial"/>
          <w:color w:val="000000"/>
          <w:sz w:val="24"/>
          <w:lang w:eastAsia="zh-CN"/>
        </w:rPr>
        <w:t>）</w:t>
      </w:r>
      <w:r>
        <w:rPr>
          <w:rFonts w:ascii="宋体" w:hAnsi="宋体" w:cs="Arial"/>
          <w:color w:val="000000"/>
          <w:sz w:val="24"/>
        </w:rPr>
        <w:t>：</w:t>
      </w:r>
    </w:p>
    <w:p>
      <w:pPr>
        <w:numPr>
          <w:ilvl w:val="0"/>
          <w:numId w:val="21"/>
        </w:numPr>
        <w:spacing w:line="360" w:lineRule="auto"/>
        <w:ind w:left="678" w:leftChars="100" w:hanging="338" w:hangingChars="141"/>
        <w:rPr>
          <w:rFonts w:ascii="宋体" w:hAnsi="宋体" w:cs="Arial"/>
          <w:color w:val="000000"/>
          <w:sz w:val="24"/>
        </w:rPr>
      </w:pPr>
      <w:r>
        <w:rPr>
          <w:rFonts w:ascii="宋体" w:hAnsi="宋体" w:cs="Arial"/>
          <w:color w:val="000000"/>
          <w:sz w:val="24"/>
        </w:rPr>
        <w:t>严格监督按图纸、规程规范进行施工，以保证工程质量达到相关验收标准及本 工程质量目标。代表上级部门行使质量监督检查权，并有权越级反映质量问题。</w:t>
      </w:r>
    </w:p>
    <w:p>
      <w:pPr>
        <w:numPr>
          <w:ilvl w:val="0"/>
          <w:numId w:val="21"/>
        </w:numPr>
        <w:spacing w:line="360" w:lineRule="auto"/>
        <w:ind w:left="661" w:leftChars="100" w:hanging="321" w:hangingChars="141"/>
        <w:rPr>
          <w:rFonts w:ascii="宋体" w:hAnsi="宋体" w:cs="Arial"/>
          <w:color w:val="000000"/>
          <w:sz w:val="24"/>
        </w:rPr>
      </w:pPr>
      <w:r>
        <w:rPr>
          <w:rFonts w:ascii="宋体" w:hAnsi="宋体" w:eastAsia="宋体" w:cs="宋体"/>
          <w:spacing w:val="-6"/>
          <w:sz w:val="24"/>
          <w:szCs w:val="24"/>
        </w:rPr>
        <w:t>认真填写工程质量检查记录，把检查发现的质量问题及时反馈给有关人员。</w:t>
      </w:r>
    </w:p>
    <w:p>
      <w:pPr>
        <w:numPr>
          <w:ilvl w:val="0"/>
          <w:numId w:val="21"/>
        </w:numPr>
        <w:spacing w:line="360" w:lineRule="auto"/>
        <w:ind w:left="661" w:leftChars="100" w:hanging="321" w:hangingChars="141"/>
        <w:rPr>
          <w:rFonts w:ascii="宋体" w:hAnsi="宋体" w:eastAsia="宋体" w:cs="宋体"/>
          <w:spacing w:val="-6"/>
          <w:sz w:val="24"/>
          <w:szCs w:val="24"/>
        </w:rPr>
      </w:pPr>
      <w:r>
        <w:rPr>
          <w:rFonts w:ascii="宋体" w:hAnsi="宋体" w:eastAsia="宋体" w:cs="宋体"/>
          <w:spacing w:val="-6"/>
          <w:sz w:val="24"/>
          <w:szCs w:val="24"/>
        </w:rPr>
        <w:t>核查施工过程中的质量记录，按时对质量记录进行标识，确保竣工资料准确、齐全、及时。</w:t>
      </w:r>
    </w:p>
    <w:p>
      <w:pPr>
        <w:numPr>
          <w:ilvl w:val="0"/>
          <w:numId w:val="21"/>
        </w:numPr>
        <w:spacing w:line="360" w:lineRule="auto"/>
        <w:ind w:left="672" w:leftChars="100" w:hanging="332" w:hangingChars="141"/>
        <w:rPr>
          <w:rFonts w:ascii="宋体" w:hAnsi="宋体" w:eastAsia="宋体" w:cs="宋体"/>
          <w:spacing w:val="-6"/>
          <w:sz w:val="24"/>
          <w:szCs w:val="24"/>
        </w:rPr>
      </w:pPr>
      <w:r>
        <w:rPr>
          <w:rFonts w:ascii="宋体" w:hAnsi="宋体" w:eastAsia="宋体" w:cs="宋体"/>
          <w:spacing w:val="-2"/>
          <w:sz w:val="24"/>
          <w:szCs w:val="24"/>
        </w:rPr>
        <w:t>参与对不合格品的评审，按规定填发工程质量问题整改单，督促工长落实纠正</w:t>
      </w:r>
      <w:r>
        <w:rPr>
          <w:rFonts w:ascii="宋体" w:hAnsi="宋体" w:eastAsia="宋体" w:cs="宋体"/>
          <w:spacing w:val="2"/>
          <w:sz w:val="24"/>
          <w:szCs w:val="24"/>
        </w:rPr>
        <w:t xml:space="preserve"> </w:t>
      </w:r>
      <w:r>
        <w:rPr>
          <w:rFonts w:ascii="宋体" w:hAnsi="宋体" w:eastAsia="宋体" w:cs="宋体"/>
          <w:spacing w:val="-3"/>
          <w:sz w:val="24"/>
          <w:szCs w:val="24"/>
        </w:rPr>
        <w:t>和预防措施，并对其重新进行核查和记录。</w:t>
      </w:r>
    </w:p>
    <w:p>
      <w:pPr>
        <w:numPr>
          <w:ilvl w:val="0"/>
          <w:numId w:val="21"/>
        </w:numPr>
        <w:spacing w:line="360" w:lineRule="auto"/>
        <w:ind w:left="661" w:leftChars="100" w:hanging="321" w:hangingChars="141"/>
        <w:rPr>
          <w:rFonts w:ascii="宋体" w:hAnsi="宋体" w:eastAsia="宋体" w:cs="宋体"/>
          <w:spacing w:val="-6"/>
          <w:sz w:val="24"/>
          <w:szCs w:val="24"/>
        </w:rPr>
      </w:pPr>
      <w:r>
        <w:rPr>
          <w:rFonts w:ascii="宋体" w:hAnsi="宋体" w:eastAsia="宋体" w:cs="宋体"/>
          <w:spacing w:val="-6"/>
          <w:sz w:val="24"/>
          <w:szCs w:val="24"/>
        </w:rPr>
        <w:t>监督工程施工中使用的原材料、半成品及构配件是否符合规定的要求。</w:t>
      </w:r>
    </w:p>
    <w:p>
      <w:pPr>
        <w:numPr>
          <w:ilvl w:val="0"/>
          <w:numId w:val="21"/>
        </w:numPr>
        <w:spacing w:line="360" w:lineRule="auto"/>
        <w:ind w:left="658" w:leftChars="100" w:hanging="318" w:hangingChars="141"/>
        <w:rPr>
          <w:rFonts w:ascii="宋体" w:hAnsi="宋体" w:eastAsia="宋体" w:cs="宋体"/>
          <w:spacing w:val="-6"/>
          <w:sz w:val="24"/>
          <w:szCs w:val="24"/>
        </w:rPr>
      </w:pPr>
      <w:r>
        <w:rPr>
          <w:rFonts w:ascii="宋体" w:hAnsi="宋体" w:eastAsia="宋体" w:cs="宋体"/>
          <w:spacing w:val="-7"/>
          <w:sz w:val="24"/>
          <w:szCs w:val="24"/>
        </w:rPr>
        <w:t>参加工程质量事故的调查和分析，组织开展</w:t>
      </w:r>
      <w:r>
        <w:rPr>
          <w:rFonts w:ascii="宋体" w:hAnsi="宋体" w:eastAsia="宋体" w:cs="宋体"/>
          <w:spacing w:val="-51"/>
          <w:sz w:val="24"/>
          <w:szCs w:val="24"/>
        </w:rPr>
        <w:t xml:space="preserve"> </w:t>
      </w:r>
      <w:r>
        <w:rPr>
          <w:rFonts w:ascii="宋体" w:hAnsi="宋体" w:eastAsia="宋体" w:cs="宋体"/>
          <w:spacing w:val="-7"/>
          <w:sz w:val="24"/>
          <w:szCs w:val="24"/>
        </w:rPr>
        <w:t>QC</w:t>
      </w:r>
      <w:r>
        <w:rPr>
          <w:rFonts w:ascii="宋体" w:hAnsi="宋体" w:eastAsia="宋体" w:cs="宋体"/>
          <w:spacing w:val="-44"/>
          <w:sz w:val="24"/>
          <w:szCs w:val="24"/>
        </w:rPr>
        <w:t xml:space="preserve"> </w:t>
      </w:r>
      <w:r>
        <w:rPr>
          <w:rFonts w:ascii="宋体" w:hAnsi="宋体" w:eastAsia="宋体" w:cs="宋体"/>
          <w:spacing w:val="-7"/>
          <w:sz w:val="24"/>
          <w:szCs w:val="24"/>
        </w:rPr>
        <w:t>小组活动</w:t>
      </w:r>
      <w:r>
        <w:rPr>
          <w:rFonts w:hint="eastAsia" w:hAnsi="宋体" w:cs="宋体"/>
          <w:spacing w:val="-7"/>
          <w:sz w:val="24"/>
          <w:szCs w:val="24"/>
          <w:lang w:eastAsia="zh-CN"/>
        </w:rPr>
        <w:t>。</w:t>
      </w:r>
    </w:p>
    <w:p>
      <w:pPr>
        <w:numPr>
          <w:ilvl w:val="0"/>
          <w:numId w:val="21"/>
        </w:numPr>
        <w:spacing w:line="360" w:lineRule="auto"/>
        <w:ind w:left="650" w:leftChars="100" w:hanging="310" w:hangingChars="141"/>
        <w:rPr>
          <w:rFonts w:ascii="宋体" w:hAnsi="宋体" w:eastAsia="宋体" w:cs="宋体"/>
          <w:spacing w:val="-6"/>
          <w:sz w:val="24"/>
          <w:szCs w:val="24"/>
        </w:rPr>
      </w:pPr>
      <w:r>
        <w:rPr>
          <w:rFonts w:ascii="宋体" w:hAnsi="宋体" w:eastAsia="宋体" w:cs="宋体"/>
          <w:spacing w:val="-10"/>
          <w:sz w:val="24"/>
          <w:szCs w:val="24"/>
        </w:rPr>
        <w:t>负责检验工程质量的器具使用和管理。</w:t>
      </w:r>
    </w:p>
    <w:p>
      <w:pPr>
        <w:numPr>
          <w:ilvl w:val="0"/>
          <w:numId w:val="21"/>
        </w:numPr>
        <w:spacing w:line="360" w:lineRule="auto"/>
        <w:ind w:left="661" w:leftChars="100" w:hanging="321" w:hangingChars="141"/>
        <w:rPr>
          <w:rFonts w:ascii="宋体" w:hAnsi="宋体" w:eastAsia="宋体" w:cs="宋体"/>
          <w:spacing w:val="-6"/>
          <w:sz w:val="24"/>
          <w:szCs w:val="24"/>
        </w:rPr>
      </w:pPr>
      <w:r>
        <w:rPr>
          <w:rFonts w:ascii="宋体" w:hAnsi="宋体" w:eastAsia="宋体" w:cs="宋体"/>
          <w:spacing w:val="-6"/>
          <w:sz w:val="24"/>
          <w:szCs w:val="24"/>
        </w:rPr>
        <w:t>做好职责范围的质量记录，对所填写的各种数据、统计报表资料负责。</w:t>
      </w:r>
    </w:p>
    <w:p>
      <w:pPr>
        <w:numPr>
          <w:ilvl w:val="0"/>
          <w:numId w:val="17"/>
        </w:numPr>
        <w:spacing w:line="360" w:lineRule="auto"/>
        <w:rPr>
          <w:rFonts w:ascii="宋体" w:hAnsi="宋体" w:cs="Arial"/>
          <w:color w:val="000000"/>
          <w:sz w:val="24"/>
        </w:rPr>
      </w:pPr>
      <w:r>
        <w:rPr>
          <w:rFonts w:hint="eastAsia" w:ascii="宋体" w:hAnsi="宋体" w:cs="Arial"/>
          <w:color w:val="000000"/>
          <w:sz w:val="24"/>
          <w:lang w:val="en-US" w:eastAsia="zh-CN"/>
        </w:rPr>
        <w:t>材料</w:t>
      </w:r>
      <w:r>
        <w:rPr>
          <w:rFonts w:ascii="宋体" w:hAnsi="宋体" w:cs="Arial"/>
          <w:color w:val="000000"/>
          <w:sz w:val="24"/>
        </w:rPr>
        <w:t>员</w:t>
      </w:r>
      <w:r>
        <w:rPr>
          <w:rFonts w:hint="eastAsia" w:ascii="宋体" w:hAnsi="宋体" w:cs="Arial"/>
          <w:color w:val="000000"/>
          <w:sz w:val="24"/>
          <w:lang w:eastAsia="zh-CN"/>
        </w:rPr>
        <w:t>（</w:t>
      </w:r>
      <w:r>
        <w:rPr>
          <w:rFonts w:hint="eastAsia" w:ascii="宋体" w:hAnsi="宋体" w:cs="Arial"/>
          <w:color w:val="000000"/>
          <w:sz w:val="24"/>
          <w:lang w:val="en-US" w:eastAsia="zh-CN"/>
        </w:rPr>
        <w:t>2人</w:t>
      </w:r>
      <w:r>
        <w:rPr>
          <w:rFonts w:hint="eastAsia" w:ascii="宋体" w:hAnsi="宋体" w:cs="Arial"/>
          <w:color w:val="000000"/>
          <w:sz w:val="24"/>
          <w:lang w:eastAsia="zh-CN"/>
        </w:rPr>
        <w:t>）</w:t>
      </w:r>
      <w:r>
        <w:rPr>
          <w:rFonts w:ascii="宋体" w:hAnsi="宋体" w:cs="Arial"/>
          <w:color w:val="000000"/>
          <w:sz w:val="24"/>
        </w:rPr>
        <w:t>：负责设备、材料的采购、制定采购计划，合理调配采购资金，对整个工程的设备和材料采购工作及设备进场验收全面负责。负责与厂商联系，作好产品技术支持及售后服务工作。负责设备、材料</w:t>
      </w:r>
      <w:r>
        <w:rPr>
          <w:rFonts w:hint="eastAsia" w:hAnsi="宋体" w:cs="Arial"/>
          <w:color w:val="000000"/>
          <w:sz w:val="24"/>
          <w:lang w:val="en-US" w:eastAsia="zh-CN"/>
        </w:rPr>
        <w:t>的配送。</w:t>
      </w:r>
    </w:p>
    <w:p>
      <w:pPr>
        <w:numPr>
          <w:ilvl w:val="0"/>
          <w:numId w:val="17"/>
        </w:numPr>
        <w:spacing w:line="360" w:lineRule="auto"/>
        <w:rPr>
          <w:rFonts w:ascii="宋体" w:hAnsi="宋体" w:cs="Arial"/>
          <w:color w:val="000000"/>
          <w:sz w:val="24"/>
        </w:rPr>
      </w:pPr>
      <w:r>
        <w:rPr>
          <w:rFonts w:ascii="宋体" w:hAnsi="宋体" w:cs="Arial"/>
          <w:color w:val="000000"/>
          <w:sz w:val="24"/>
        </w:rPr>
        <w:t>安全员</w:t>
      </w:r>
      <w:r>
        <w:rPr>
          <w:rFonts w:hint="eastAsia" w:ascii="宋体" w:hAnsi="宋体" w:cs="Arial"/>
          <w:color w:val="000000"/>
          <w:sz w:val="24"/>
          <w:lang w:eastAsia="zh-CN"/>
        </w:rPr>
        <w:t>（</w:t>
      </w:r>
      <w:r>
        <w:rPr>
          <w:rFonts w:hint="eastAsia" w:ascii="宋体" w:hAnsi="宋体" w:cs="Arial"/>
          <w:color w:val="000000"/>
          <w:sz w:val="24"/>
          <w:lang w:val="en-US" w:eastAsia="zh-CN"/>
        </w:rPr>
        <w:t>2人</w:t>
      </w:r>
      <w:r>
        <w:rPr>
          <w:rFonts w:hint="eastAsia" w:ascii="宋体" w:hAnsi="宋体" w:cs="Arial"/>
          <w:color w:val="000000"/>
          <w:sz w:val="24"/>
          <w:lang w:eastAsia="zh-CN"/>
        </w:rPr>
        <w:t>）</w:t>
      </w:r>
      <w:r>
        <w:rPr>
          <w:rFonts w:ascii="宋体" w:hAnsi="宋体" w:cs="Arial"/>
          <w:color w:val="000000"/>
          <w:sz w:val="24"/>
        </w:rPr>
        <w:t>：</w:t>
      </w:r>
    </w:p>
    <w:p>
      <w:pPr>
        <w:numPr>
          <w:ilvl w:val="0"/>
          <w:numId w:val="22"/>
        </w:numPr>
        <w:spacing w:line="360" w:lineRule="auto"/>
        <w:ind w:left="661" w:leftChars="100" w:hanging="321" w:hangingChars="141"/>
        <w:rPr>
          <w:rFonts w:ascii="宋体" w:hAnsi="宋体" w:eastAsia="宋体" w:cs="宋体"/>
          <w:spacing w:val="-6"/>
          <w:sz w:val="24"/>
          <w:szCs w:val="24"/>
        </w:rPr>
      </w:pPr>
      <w:r>
        <w:rPr>
          <w:rFonts w:ascii="宋体" w:hAnsi="宋体" w:eastAsia="宋体" w:cs="宋体"/>
          <w:spacing w:val="-6"/>
          <w:sz w:val="24"/>
          <w:szCs w:val="24"/>
        </w:rPr>
        <w:t>认真贯彻执行国家颁布的安全法规和公司制定的安全制度，负责项目部施工过程中的安全管理、监督、检查工作。</w:t>
      </w:r>
    </w:p>
    <w:p>
      <w:pPr>
        <w:numPr>
          <w:ilvl w:val="0"/>
          <w:numId w:val="22"/>
        </w:numPr>
        <w:spacing w:line="360" w:lineRule="auto"/>
        <w:ind w:left="661" w:leftChars="100" w:hanging="321" w:hangingChars="141"/>
        <w:rPr>
          <w:rFonts w:ascii="宋体" w:hAnsi="宋体" w:eastAsia="宋体" w:cs="宋体"/>
          <w:spacing w:val="-6"/>
          <w:sz w:val="24"/>
          <w:szCs w:val="24"/>
        </w:rPr>
      </w:pPr>
      <w:r>
        <w:rPr>
          <w:rFonts w:ascii="宋体" w:hAnsi="宋体" w:eastAsia="宋体" w:cs="宋体"/>
          <w:spacing w:val="-6"/>
          <w:sz w:val="24"/>
          <w:szCs w:val="24"/>
        </w:rPr>
        <w:t>负责现场施工的安全、消防工作。</w:t>
      </w:r>
    </w:p>
    <w:p>
      <w:pPr>
        <w:numPr>
          <w:ilvl w:val="0"/>
          <w:numId w:val="22"/>
        </w:numPr>
        <w:spacing w:line="360" w:lineRule="auto"/>
        <w:ind w:left="675" w:leftChars="100" w:hanging="335" w:hangingChars="141"/>
        <w:rPr>
          <w:rFonts w:ascii="宋体" w:hAnsi="宋体" w:eastAsia="宋体" w:cs="宋体"/>
          <w:spacing w:val="-6"/>
          <w:sz w:val="24"/>
          <w:szCs w:val="24"/>
        </w:rPr>
      </w:pPr>
      <w:r>
        <w:rPr>
          <w:rFonts w:ascii="宋体" w:hAnsi="宋体" w:eastAsia="宋体" w:cs="宋体"/>
          <w:spacing w:val="-1"/>
          <w:sz w:val="24"/>
          <w:szCs w:val="24"/>
        </w:rPr>
        <w:t>监督、检查安全技术交底的实施，出现隐患及时向有关人员提出并发隐患整改通知</w:t>
      </w:r>
      <w:r>
        <w:rPr>
          <w:rFonts w:ascii="宋体" w:hAnsi="宋体" w:eastAsia="宋体" w:cs="宋体"/>
          <w:sz w:val="24"/>
          <w:szCs w:val="24"/>
        </w:rPr>
        <w:t xml:space="preserve"> </w:t>
      </w:r>
      <w:r>
        <w:rPr>
          <w:rFonts w:ascii="宋体" w:hAnsi="宋体" w:eastAsia="宋体" w:cs="宋体"/>
          <w:spacing w:val="-3"/>
          <w:sz w:val="24"/>
          <w:szCs w:val="24"/>
        </w:rPr>
        <w:t>书，出现安全事故及时向上级安全部门报告。</w:t>
      </w:r>
    </w:p>
    <w:p>
      <w:pPr>
        <w:numPr>
          <w:ilvl w:val="0"/>
          <w:numId w:val="22"/>
        </w:numPr>
        <w:spacing w:line="360" w:lineRule="auto"/>
        <w:ind w:left="669" w:leftChars="100" w:hanging="329" w:hangingChars="141"/>
        <w:rPr>
          <w:rFonts w:ascii="宋体" w:hAnsi="宋体" w:eastAsia="宋体" w:cs="宋体"/>
          <w:spacing w:val="-6"/>
          <w:sz w:val="24"/>
          <w:szCs w:val="24"/>
        </w:rPr>
      </w:pPr>
      <w:r>
        <w:rPr>
          <w:rFonts w:ascii="宋体" w:hAnsi="宋体" w:eastAsia="宋体" w:cs="宋体"/>
          <w:spacing w:val="-3"/>
          <w:sz w:val="24"/>
          <w:szCs w:val="24"/>
        </w:rPr>
        <w:t>对进场工人进行安全知识教育，并在施工前进行安全技术交底；</w:t>
      </w:r>
    </w:p>
    <w:p>
      <w:pPr>
        <w:numPr>
          <w:ilvl w:val="0"/>
          <w:numId w:val="22"/>
        </w:numPr>
        <w:spacing w:line="360" w:lineRule="auto"/>
        <w:ind w:left="672" w:leftChars="100" w:hanging="332" w:hangingChars="141"/>
        <w:rPr>
          <w:rFonts w:ascii="宋体" w:hAnsi="宋体" w:eastAsia="宋体" w:cs="宋体"/>
          <w:spacing w:val="-6"/>
          <w:sz w:val="24"/>
          <w:szCs w:val="24"/>
        </w:rPr>
      </w:pPr>
      <w:r>
        <w:rPr>
          <w:rFonts w:ascii="宋体" w:hAnsi="宋体" w:eastAsia="宋体" w:cs="宋体"/>
          <w:spacing w:val="-2"/>
          <w:sz w:val="24"/>
          <w:szCs w:val="24"/>
        </w:rPr>
        <w:t>在项目上督促执行安全责任制；参与施工组织设计中安全措施的制定工作。</w:t>
      </w:r>
    </w:p>
    <w:p>
      <w:pPr>
        <w:numPr>
          <w:ilvl w:val="0"/>
          <w:numId w:val="22"/>
        </w:numPr>
        <w:spacing w:line="360" w:lineRule="auto"/>
        <w:ind w:left="669" w:leftChars="100" w:hanging="329" w:hangingChars="141"/>
        <w:rPr>
          <w:rFonts w:ascii="宋体" w:hAnsi="宋体" w:eastAsia="宋体" w:cs="宋体"/>
          <w:spacing w:val="-6"/>
          <w:sz w:val="24"/>
          <w:szCs w:val="24"/>
        </w:rPr>
      </w:pPr>
      <w:r>
        <w:rPr>
          <w:rFonts w:ascii="宋体" w:hAnsi="宋体" w:eastAsia="宋体" w:cs="宋体"/>
          <w:spacing w:val="-3"/>
          <w:sz w:val="24"/>
          <w:szCs w:val="24"/>
        </w:rPr>
        <w:t>监督特种作业人员持证上岗工作，在现场设置安全标志；</w:t>
      </w:r>
    </w:p>
    <w:p>
      <w:pPr>
        <w:numPr>
          <w:ilvl w:val="0"/>
          <w:numId w:val="22"/>
        </w:numPr>
        <w:spacing w:line="360" w:lineRule="auto"/>
        <w:ind w:left="669" w:leftChars="100" w:hanging="329" w:hangingChars="141"/>
        <w:rPr>
          <w:rFonts w:ascii="宋体" w:hAnsi="宋体" w:eastAsia="宋体" w:cs="宋体"/>
          <w:spacing w:val="-6"/>
          <w:sz w:val="24"/>
          <w:szCs w:val="24"/>
        </w:rPr>
      </w:pPr>
      <w:r>
        <w:rPr>
          <w:rFonts w:ascii="宋体" w:hAnsi="宋体" w:eastAsia="宋体" w:cs="宋体"/>
          <w:spacing w:val="-3"/>
          <w:sz w:val="24"/>
          <w:szCs w:val="24"/>
        </w:rPr>
        <w:t>定期进行安全检查，对事故隐患督促整改。</w:t>
      </w:r>
    </w:p>
    <w:p>
      <w:pPr>
        <w:numPr>
          <w:ilvl w:val="0"/>
          <w:numId w:val="17"/>
        </w:numPr>
        <w:spacing w:line="360" w:lineRule="auto"/>
        <w:rPr>
          <w:rFonts w:ascii="宋体" w:hAnsi="宋体" w:cs="Arial"/>
          <w:color w:val="000000"/>
          <w:sz w:val="24"/>
        </w:rPr>
      </w:pPr>
      <w:r>
        <w:rPr>
          <w:rFonts w:ascii="宋体" w:hAnsi="宋体" w:cs="Arial"/>
          <w:color w:val="000000"/>
          <w:sz w:val="24"/>
        </w:rPr>
        <w:t>资料</w:t>
      </w:r>
      <w:r>
        <w:rPr>
          <w:rFonts w:hint="eastAsia" w:ascii="宋体" w:hAnsi="宋体" w:cs="Arial"/>
          <w:color w:val="000000"/>
          <w:sz w:val="24"/>
          <w:lang w:eastAsia="zh-CN"/>
        </w:rPr>
        <w:t>、</w:t>
      </w:r>
      <w:r>
        <w:rPr>
          <w:rFonts w:ascii="宋体" w:hAnsi="宋体" w:cs="Arial"/>
          <w:color w:val="000000"/>
          <w:sz w:val="24"/>
        </w:rPr>
        <w:t>预算员</w:t>
      </w:r>
      <w:r>
        <w:rPr>
          <w:rFonts w:hint="eastAsia" w:ascii="宋体" w:hAnsi="宋体" w:cs="Arial"/>
          <w:color w:val="000000"/>
          <w:sz w:val="24"/>
          <w:lang w:eastAsia="zh-CN"/>
        </w:rPr>
        <w:t>（</w:t>
      </w:r>
      <w:r>
        <w:rPr>
          <w:rFonts w:hint="eastAsia" w:ascii="宋体" w:hAnsi="宋体" w:cs="Arial"/>
          <w:color w:val="000000"/>
          <w:sz w:val="24"/>
          <w:lang w:val="en-US" w:eastAsia="zh-CN"/>
        </w:rPr>
        <w:t>1人</w:t>
      </w:r>
      <w:r>
        <w:rPr>
          <w:rFonts w:hint="eastAsia" w:ascii="宋体" w:hAnsi="宋体" w:cs="Arial"/>
          <w:color w:val="000000"/>
          <w:sz w:val="24"/>
          <w:lang w:eastAsia="zh-CN"/>
        </w:rPr>
        <w:t>）</w:t>
      </w:r>
      <w:r>
        <w:rPr>
          <w:rFonts w:ascii="宋体" w:hAnsi="宋体" w:cs="Arial"/>
          <w:color w:val="000000"/>
          <w:sz w:val="24"/>
        </w:rPr>
        <w:t>：负责对整个工程的工程造价进行测算，控制工程造价成本，对工程项目的财务状况进行分析，合理协调工程费用支出</w:t>
      </w:r>
      <w:r>
        <w:rPr>
          <w:rFonts w:hint="eastAsia" w:ascii="宋体" w:hAnsi="宋体" w:cs="Arial"/>
          <w:color w:val="000000"/>
          <w:sz w:val="24"/>
          <w:lang w:eastAsia="zh-CN"/>
        </w:rPr>
        <w:t>；</w:t>
      </w:r>
      <w:r>
        <w:rPr>
          <w:rFonts w:ascii="宋体" w:hAnsi="宋体" w:cs="Arial"/>
          <w:color w:val="000000"/>
          <w:sz w:val="24"/>
        </w:rPr>
        <w:t>负责工程项目全部工程文档的管理工作，包括工程实施准备文档、工程实施过程文档、工程竣工验收文档。</w:t>
      </w:r>
    </w:p>
    <w:p>
      <w:pPr>
        <w:numPr>
          <w:ilvl w:val="0"/>
          <w:numId w:val="17"/>
        </w:numPr>
        <w:spacing w:line="360" w:lineRule="auto"/>
        <w:rPr>
          <w:rFonts w:ascii="宋体" w:hAnsi="宋体" w:cs="Arial"/>
          <w:color w:val="000000"/>
          <w:sz w:val="24"/>
        </w:rPr>
      </w:pPr>
      <w:r>
        <w:rPr>
          <w:rFonts w:ascii="宋体" w:hAnsi="宋体" w:cs="Arial"/>
          <w:color w:val="000000"/>
          <w:sz w:val="24"/>
        </w:rPr>
        <w:t>后勤员</w:t>
      </w:r>
      <w:r>
        <w:rPr>
          <w:rFonts w:hint="eastAsia" w:ascii="宋体" w:hAnsi="宋体" w:cs="Arial"/>
          <w:color w:val="000000"/>
          <w:sz w:val="24"/>
          <w:lang w:eastAsia="zh-CN"/>
        </w:rPr>
        <w:t>（</w:t>
      </w:r>
      <w:r>
        <w:rPr>
          <w:rFonts w:hint="eastAsia" w:ascii="宋体" w:hAnsi="宋体" w:cs="Arial"/>
          <w:color w:val="000000"/>
          <w:sz w:val="24"/>
          <w:lang w:val="en-US" w:eastAsia="zh-CN"/>
        </w:rPr>
        <w:t>1人</w:t>
      </w:r>
      <w:r>
        <w:rPr>
          <w:rFonts w:hint="eastAsia" w:ascii="宋体" w:hAnsi="宋体" w:cs="Arial"/>
          <w:color w:val="000000"/>
          <w:sz w:val="24"/>
          <w:lang w:eastAsia="zh-CN"/>
        </w:rPr>
        <w:t>）</w:t>
      </w:r>
      <w:r>
        <w:rPr>
          <w:rFonts w:ascii="宋体" w:hAnsi="宋体" w:cs="Arial"/>
          <w:color w:val="000000"/>
          <w:sz w:val="24"/>
        </w:rPr>
        <w:t>：负责项目部的设备和材料的保管，严格出入库手续，不合格的材料和设备不允许入库。保证出库材料和设备完好无损。负责施工现场机具、仪器保管、借用、采购，负责仪器定时计量。负责项目部的行政后勤工作。</w:t>
      </w:r>
    </w:p>
    <w:p>
      <w:pPr>
        <w:numPr>
          <w:ilvl w:val="0"/>
          <w:numId w:val="17"/>
        </w:numPr>
        <w:spacing w:line="360" w:lineRule="auto"/>
        <w:rPr>
          <w:rFonts w:hint="eastAsia" w:ascii="宋体" w:hAnsi="宋体" w:cs="Arial"/>
          <w:color w:val="000000"/>
          <w:sz w:val="24"/>
        </w:rPr>
      </w:pPr>
      <w:r>
        <w:rPr>
          <w:rFonts w:ascii="宋体" w:hAnsi="宋体" w:cs="Arial"/>
          <w:color w:val="000000"/>
          <w:sz w:val="24"/>
        </w:rPr>
        <w:t>施工队长</w:t>
      </w:r>
      <w:r>
        <w:rPr>
          <w:rFonts w:hint="eastAsia" w:ascii="宋体" w:hAnsi="宋体" w:cs="Arial"/>
          <w:color w:val="000000"/>
          <w:sz w:val="24"/>
          <w:lang w:eastAsia="zh-CN"/>
        </w:rPr>
        <w:t>（</w:t>
      </w:r>
      <w:r>
        <w:rPr>
          <w:rFonts w:hint="eastAsia" w:hAnsi="宋体" w:cs="Arial"/>
          <w:color w:val="000000"/>
          <w:sz w:val="24"/>
          <w:lang w:val="en-US" w:eastAsia="zh-CN"/>
        </w:rPr>
        <w:t>8</w:t>
      </w:r>
      <w:r>
        <w:rPr>
          <w:rFonts w:hint="eastAsia" w:ascii="宋体" w:hAnsi="宋体" w:cs="Arial"/>
          <w:color w:val="000000"/>
          <w:sz w:val="24"/>
          <w:lang w:val="en-US" w:eastAsia="zh-CN"/>
        </w:rPr>
        <w:t>人</w:t>
      </w:r>
      <w:r>
        <w:rPr>
          <w:rFonts w:hint="eastAsia" w:ascii="宋体" w:hAnsi="宋体" w:cs="Arial"/>
          <w:color w:val="000000"/>
          <w:sz w:val="24"/>
          <w:lang w:eastAsia="zh-CN"/>
        </w:rPr>
        <w:t>）</w:t>
      </w:r>
      <w:r>
        <w:rPr>
          <w:rFonts w:ascii="宋体" w:hAnsi="宋体" w:cs="Arial"/>
          <w:color w:val="000000"/>
          <w:sz w:val="24"/>
        </w:rPr>
        <w:t>：施工队长应具备丰富的施工经验和协调、管理能力，组织施工人员按施工图纸进行桥架、管线的预埋预留、线缆敷设、设备安装、接线、调试等工作。</w:t>
      </w:r>
    </w:p>
    <w:p>
      <w:pPr>
        <w:pStyle w:val="4"/>
        <w:numPr>
          <w:ilvl w:val="1"/>
          <w:numId w:val="16"/>
        </w:numPr>
        <w:rPr>
          <w:rFonts w:hint="eastAsia" w:ascii="宋体" w:hAnsi="宋体"/>
          <w:bCs w:val="0"/>
          <w:color w:val="000000"/>
          <w:sz w:val="28"/>
          <w:szCs w:val="28"/>
        </w:rPr>
      </w:pPr>
      <w:bookmarkStart w:id="88" w:name="_Toc12256"/>
      <w:bookmarkStart w:id="89" w:name="_Toc30050"/>
      <w:bookmarkStart w:id="90" w:name="_Toc14660"/>
      <w:bookmarkStart w:id="91" w:name="_Toc17414"/>
      <w:bookmarkStart w:id="92" w:name="_Toc17546"/>
      <w:r>
        <w:rPr>
          <w:rFonts w:hint="eastAsia" w:ascii="宋体" w:hAnsi="宋体"/>
          <w:bCs w:val="0"/>
          <w:color w:val="000000"/>
          <w:sz w:val="28"/>
          <w:szCs w:val="28"/>
        </w:rPr>
        <w:t>劳动力安排计划</w:t>
      </w:r>
      <w:bookmarkEnd w:id="88"/>
      <w:bookmarkEnd w:id="89"/>
      <w:bookmarkEnd w:id="90"/>
      <w:bookmarkEnd w:id="91"/>
      <w:bookmarkEnd w:id="92"/>
    </w:p>
    <w:p>
      <w:pPr>
        <w:pStyle w:val="5"/>
        <w:numPr>
          <w:ilvl w:val="0"/>
          <w:numId w:val="0"/>
        </w:numPr>
        <w:ind w:leftChars="0"/>
        <w:outlineLvl w:val="3"/>
        <w:rPr>
          <w:rFonts w:hint="eastAsia" w:ascii="宋体" w:hAnsi="宋体" w:eastAsia="宋体" w:cs="宋体"/>
          <w:bCs w:val="0"/>
          <w:color w:val="000000"/>
          <w:sz w:val="24"/>
          <w:szCs w:val="24"/>
        </w:rPr>
      </w:pPr>
      <w:bookmarkStart w:id="93" w:name="_Toc7170"/>
      <w:bookmarkStart w:id="94" w:name="_Toc7183"/>
      <w:r>
        <w:rPr>
          <w:rFonts w:hint="eastAsia" w:ascii="宋体" w:hAnsi="宋体" w:eastAsia="宋体" w:cs="宋体"/>
          <w:bCs w:val="0"/>
          <w:color w:val="000000"/>
          <w:sz w:val="24"/>
          <w:szCs w:val="24"/>
          <w:lang w:val="en-US" w:eastAsia="zh-CN"/>
        </w:rPr>
        <w:t xml:space="preserve">1.4.1 </w:t>
      </w:r>
      <w:r>
        <w:rPr>
          <w:rFonts w:hint="eastAsia" w:ascii="宋体" w:hAnsi="宋体" w:eastAsia="宋体" w:cs="宋体"/>
          <w:bCs w:val="0"/>
          <w:color w:val="000000"/>
          <w:sz w:val="24"/>
          <w:szCs w:val="24"/>
        </w:rPr>
        <w:t>劳动力安排</w:t>
      </w:r>
      <w:bookmarkEnd w:id="93"/>
      <w:bookmarkEnd w:id="94"/>
    </w:p>
    <w:p>
      <w:pPr>
        <w:spacing w:line="360" w:lineRule="auto"/>
        <w:ind w:firstLine="480" w:firstLineChars="200"/>
        <w:rPr>
          <w:rFonts w:ascii="宋体" w:hAnsi="宋体" w:cs="Arial"/>
          <w:color w:val="000000"/>
          <w:sz w:val="24"/>
        </w:rPr>
      </w:pPr>
      <w:r>
        <w:rPr>
          <w:rFonts w:ascii="宋体" w:hAnsi="宋体" w:cs="Arial"/>
          <w:color w:val="000000"/>
          <w:sz w:val="24"/>
        </w:rPr>
        <w:t>如果我公司中标，我公司将根据甲方要求在人力、物力方面做如下安排：</w:t>
      </w:r>
    </w:p>
    <w:p>
      <w:pPr>
        <w:numPr>
          <w:ilvl w:val="0"/>
          <w:numId w:val="23"/>
        </w:numPr>
        <w:tabs>
          <w:tab w:val="clear" w:pos="1260"/>
        </w:tabs>
        <w:spacing w:line="360" w:lineRule="auto"/>
        <w:ind w:left="1013" w:leftChars="200" w:hanging="333" w:hangingChars="139"/>
        <w:rPr>
          <w:rFonts w:ascii="宋体" w:hAnsi="宋体" w:cs="Arial"/>
          <w:color w:val="000000"/>
          <w:sz w:val="24"/>
        </w:rPr>
      </w:pPr>
      <w:r>
        <w:rPr>
          <w:rFonts w:ascii="宋体" w:hAnsi="宋体" w:cs="Arial"/>
          <w:color w:val="000000"/>
          <w:sz w:val="24"/>
        </w:rPr>
        <w:t>组建一支管理施工双过硬的项目管理班子，负责工程的总包管理与我公司自身施工系统的实施。</w:t>
      </w:r>
    </w:p>
    <w:p>
      <w:pPr>
        <w:numPr>
          <w:ilvl w:val="0"/>
          <w:numId w:val="23"/>
        </w:numPr>
        <w:tabs>
          <w:tab w:val="clear" w:pos="1260"/>
        </w:tabs>
        <w:spacing w:line="360" w:lineRule="auto"/>
        <w:ind w:left="1013" w:leftChars="200" w:hanging="333" w:hangingChars="139"/>
        <w:rPr>
          <w:rFonts w:ascii="宋体" w:hAnsi="宋体" w:cs="Arial"/>
          <w:color w:val="000000"/>
          <w:sz w:val="24"/>
        </w:rPr>
      </w:pPr>
      <w:r>
        <w:rPr>
          <w:rFonts w:ascii="宋体" w:hAnsi="宋体" w:cs="Arial"/>
          <w:color w:val="000000"/>
          <w:sz w:val="24"/>
        </w:rPr>
        <w:t>根据施工总体要求、施工进度和劳动力需要量计划所需作业班组。</w:t>
      </w:r>
    </w:p>
    <w:p>
      <w:pPr>
        <w:numPr>
          <w:ilvl w:val="0"/>
          <w:numId w:val="23"/>
        </w:numPr>
        <w:tabs>
          <w:tab w:val="clear" w:pos="1260"/>
        </w:tabs>
        <w:spacing w:line="360" w:lineRule="auto"/>
        <w:ind w:left="1013" w:leftChars="200" w:hanging="333" w:hangingChars="139"/>
        <w:rPr>
          <w:rFonts w:ascii="宋体" w:hAnsi="宋体" w:cs="Arial"/>
          <w:color w:val="000000"/>
          <w:sz w:val="24"/>
        </w:rPr>
      </w:pPr>
      <w:r>
        <w:rPr>
          <w:rFonts w:ascii="宋体" w:hAnsi="宋体" w:cs="Arial"/>
          <w:color w:val="000000"/>
          <w:sz w:val="24"/>
        </w:rPr>
        <w:t>对施工队进行工作前质量、安全、文明施工的培训。</w:t>
      </w:r>
    </w:p>
    <w:p>
      <w:pPr>
        <w:numPr>
          <w:ilvl w:val="0"/>
          <w:numId w:val="23"/>
        </w:numPr>
        <w:tabs>
          <w:tab w:val="clear" w:pos="1260"/>
        </w:tabs>
        <w:spacing w:line="360" w:lineRule="auto"/>
        <w:ind w:left="1013" w:leftChars="200" w:hanging="333" w:hangingChars="139"/>
        <w:rPr>
          <w:rFonts w:hint="eastAsia" w:ascii="宋体" w:hAnsi="宋体" w:cs="Arial"/>
          <w:color w:val="000000"/>
          <w:sz w:val="24"/>
        </w:rPr>
      </w:pPr>
      <w:r>
        <w:rPr>
          <w:rFonts w:ascii="宋体" w:hAnsi="宋体" w:cs="Arial"/>
          <w:color w:val="000000"/>
          <w:sz w:val="24"/>
        </w:rPr>
        <w:t>根据材料、设备清单及工期需用编制物资采购计划。</w:t>
      </w:r>
    </w:p>
    <w:p>
      <w:pPr>
        <w:numPr>
          <w:ilvl w:val="0"/>
          <w:numId w:val="23"/>
        </w:numPr>
        <w:tabs>
          <w:tab w:val="clear" w:pos="1260"/>
        </w:tabs>
        <w:spacing w:line="360" w:lineRule="auto"/>
        <w:ind w:left="1013" w:leftChars="200" w:hanging="333" w:hangingChars="139"/>
        <w:rPr>
          <w:rFonts w:ascii="宋体" w:hAnsi="宋体" w:cs="Arial"/>
          <w:color w:val="000000"/>
          <w:sz w:val="24"/>
        </w:rPr>
      </w:pPr>
      <w:r>
        <w:rPr>
          <w:rFonts w:ascii="宋体" w:hAnsi="宋体" w:cs="Arial"/>
          <w:color w:val="000000"/>
          <w:sz w:val="24"/>
        </w:rPr>
        <w:t>根据施工队组织情况编制进场前培训工作。</w:t>
      </w:r>
    </w:p>
    <w:p>
      <w:pPr>
        <w:pStyle w:val="5"/>
        <w:numPr>
          <w:ilvl w:val="0"/>
          <w:numId w:val="0"/>
        </w:numPr>
        <w:ind w:leftChars="0"/>
        <w:outlineLvl w:val="3"/>
        <w:rPr>
          <w:rFonts w:hint="eastAsia" w:ascii="宋体" w:hAnsi="宋体" w:eastAsia="宋体" w:cs="宋体"/>
          <w:bCs w:val="0"/>
          <w:color w:val="000000"/>
          <w:sz w:val="24"/>
          <w:szCs w:val="24"/>
        </w:rPr>
      </w:pPr>
      <w:bookmarkStart w:id="95" w:name="_Toc1690"/>
      <w:bookmarkStart w:id="96" w:name="_Toc18009"/>
      <w:r>
        <w:rPr>
          <w:rFonts w:hint="eastAsia" w:ascii="宋体" w:hAnsi="宋体" w:eastAsia="宋体" w:cs="宋体"/>
          <w:bCs w:val="0"/>
          <w:color w:val="000000"/>
          <w:sz w:val="24"/>
          <w:szCs w:val="24"/>
          <w:lang w:val="en-US" w:eastAsia="zh-CN"/>
        </w:rPr>
        <w:t xml:space="preserve">1.4.2 </w:t>
      </w:r>
      <w:r>
        <w:rPr>
          <w:rFonts w:hint="eastAsia" w:ascii="宋体" w:hAnsi="宋体" w:eastAsia="宋体" w:cs="宋体"/>
          <w:bCs w:val="0"/>
          <w:color w:val="000000"/>
          <w:sz w:val="24"/>
          <w:szCs w:val="24"/>
        </w:rPr>
        <w:t>劳动力配备原则</w:t>
      </w:r>
      <w:bookmarkEnd w:id="95"/>
      <w:bookmarkEnd w:id="96"/>
    </w:p>
    <w:p>
      <w:pPr>
        <w:spacing w:line="360" w:lineRule="auto"/>
        <w:ind w:firstLine="480" w:firstLineChars="200"/>
        <w:rPr>
          <w:rFonts w:hint="eastAsia" w:ascii="宋体" w:hAnsi="宋体"/>
          <w:color w:val="000000"/>
          <w:sz w:val="24"/>
        </w:rPr>
      </w:pPr>
      <w:r>
        <w:rPr>
          <w:rFonts w:hint="eastAsia" w:ascii="宋体" w:hAnsi="宋体"/>
          <w:color w:val="000000"/>
          <w:sz w:val="24"/>
        </w:rPr>
        <w:t>以自有职工为主，操作工人配备素质高、技术硬的人员。实行完成工程质量、工期计划与管理人员、施工人员经济利益相结合的考核制，奖勤罚懒、奖优罚劣，充分调动施工人员的积极性。</w:t>
      </w:r>
    </w:p>
    <w:p>
      <w:pPr>
        <w:spacing w:line="360" w:lineRule="auto"/>
        <w:ind w:firstLine="480" w:firstLineChars="200"/>
        <w:rPr>
          <w:rFonts w:hint="eastAsia" w:ascii="宋体" w:hAnsi="宋体"/>
          <w:color w:val="000000"/>
          <w:sz w:val="24"/>
        </w:rPr>
      </w:pPr>
      <w:r>
        <w:rPr>
          <w:rFonts w:hint="eastAsia" w:ascii="宋体" w:hAnsi="宋体"/>
          <w:color w:val="000000"/>
          <w:sz w:val="24"/>
        </w:rPr>
        <w:t>选择参加过同类型或大型工程建设的技术工人队伍参加本工程的施工。对班组长和技术工人采取考核上岗方式，考核分实际操作和专业考试两部分。电焊工、 电工等特种技术工人，须持劳动部门颁发的有效证件上岗。根据工期进度安排， 编制各专业详细劳动力计划， 配备充足的专业技术工人， 保障工程 施工的基础力量。</w:t>
      </w:r>
    </w:p>
    <w:p>
      <w:pPr>
        <w:spacing w:line="360" w:lineRule="auto"/>
        <w:ind w:firstLine="444" w:firstLineChars="200"/>
        <w:rPr>
          <w:rFonts w:hint="eastAsia" w:ascii="宋体" w:hAnsi="宋体"/>
          <w:color w:val="000000"/>
          <w:sz w:val="24"/>
        </w:rPr>
      </w:pPr>
      <w:r>
        <w:rPr>
          <w:rFonts w:ascii="宋体" w:hAnsi="宋体" w:eastAsia="宋体" w:cs="宋体"/>
          <w:spacing w:val="-9"/>
          <w:sz w:val="24"/>
          <w:szCs w:val="24"/>
        </w:rPr>
        <w:t>参加本工程进行安装施工的所有人员，</w:t>
      </w:r>
      <w:r>
        <w:rPr>
          <w:rFonts w:ascii="宋体" w:hAnsi="宋体" w:eastAsia="宋体" w:cs="宋体"/>
          <w:spacing w:val="-36"/>
          <w:sz w:val="24"/>
          <w:szCs w:val="24"/>
        </w:rPr>
        <w:t xml:space="preserve"> </w:t>
      </w:r>
      <w:r>
        <w:rPr>
          <w:rFonts w:ascii="宋体" w:hAnsi="宋体" w:eastAsia="宋体" w:cs="宋体"/>
          <w:spacing w:val="-9"/>
          <w:sz w:val="24"/>
          <w:szCs w:val="24"/>
        </w:rPr>
        <w:t>在进场前必须进行进场培训教育。内容包括安全、</w:t>
      </w:r>
      <w:r>
        <w:rPr>
          <w:rFonts w:ascii="宋体" w:hAnsi="宋体" w:eastAsia="宋体" w:cs="宋体"/>
          <w:sz w:val="24"/>
          <w:szCs w:val="24"/>
        </w:rPr>
        <w:t xml:space="preserve"> </w:t>
      </w:r>
      <w:r>
        <w:rPr>
          <w:rFonts w:ascii="宋体" w:hAnsi="宋体" w:eastAsia="宋体" w:cs="宋体"/>
          <w:spacing w:val="-2"/>
          <w:sz w:val="24"/>
          <w:szCs w:val="24"/>
        </w:rPr>
        <w:t>文明施工、现场各项规章制度等，并组织书面考试，考试合格后方可进场工作。</w:t>
      </w:r>
    </w:p>
    <w:p>
      <w:pPr>
        <w:pStyle w:val="5"/>
        <w:numPr>
          <w:ilvl w:val="0"/>
          <w:numId w:val="0"/>
        </w:numPr>
        <w:ind w:leftChars="0"/>
        <w:outlineLvl w:val="3"/>
        <w:rPr>
          <w:rFonts w:hint="eastAsia" w:ascii="宋体" w:hAnsi="宋体" w:eastAsia="宋体" w:cs="宋体"/>
          <w:bCs w:val="0"/>
          <w:color w:val="000000"/>
          <w:sz w:val="24"/>
          <w:szCs w:val="24"/>
        </w:rPr>
      </w:pPr>
      <w:bookmarkStart w:id="97" w:name="_Toc19191"/>
      <w:bookmarkStart w:id="98" w:name="_Toc10760"/>
      <w:r>
        <w:rPr>
          <w:rFonts w:hint="eastAsia" w:ascii="宋体" w:hAnsi="宋体" w:eastAsia="宋体" w:cs="宋体"/>
          <w:bCs w:val="0"/>
          <w:color w:val="000000"/>
          <w:sz w:val="24"/>
          <w:szCs w:val="24"/>
          <w:lang w:val="en-US" w:eastAsia="zh-CN"/>
        </w:rPr>
        <w:t xml:space="preserve">1.4.3 </w:t>
      </w:r>
      <w:r>
        <w:rPr>
          <w:rFonts w:hint="eastAsia" w:ascii="宋体" w:hAnsi="宋体" w:eastAsia="宋体" w:cs="宋体"/>
          <w:bCs w:val="0"/>
          <w:color w:val="000000"/>
          <w:sz w:val="24"/>
          <w:szCs w:val="24"/>
        </w:rPr>
        <w:t>要劳动力组织</w:t>
      </w:r>
      <w:bookmarkEnd w:id="97"/>
      <w:bookmarkEnd w:id="98"/>
    </w:p>
    <w:tbl>
      <w:tblPr>
        <w:tblStyle w:val="23"/>
        <w:tblW w:w="84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95"/>
        <w:gridCol w:w="922"/>
        <w:gridCol w:w="923"/>
        <w:gridCol w:w="922"/>
        <w:gridCol w:w="923"/>
        <w:gridCol w:w="922"/>
        <w:gridCol w:w="923"/>
        <w:gridCol w:w="922"/>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trPr>
        <w:tc>
          <w:tcPr>
            <w:tcW w:w="1095" w:type="dxa"/>
            <w:vMerge w:val="restart"/>
            <w:noWrap/>
            <w:tcMar>
              <w:top w:w="15" w:type="dxa"/>
              <w:left w:w="15" w:type="dxa"/>
              <w:bottom w:w="0" w:type="dxa"/>
              <w:right w:w="15" w:type="dxa"/>
            </w:tcMar>
            <w:vAlign w:val="center"/>
          </w:tcPr>
          <w:p>
            <w:pPr>
              <w:jc w:val="center"/>
              <w:rPr>
                <w:rFonts w:ascii="宋体" w:hAnsi="宋体" w:cs="Arial"/>
                <w:color w:val="000000"/>
                <w:sz w:val="21"/>
                <w:szCs w:val="21"/>
              </w:rPr>
            </w:pPr>
            <w:r>
              <w:rPr>
                <w:rFonts w:ascii="宋体" w:hAnsi="宋体" w:cs="Arial"/>
                <w:color w:val="000000"/>
                <w:sz w:val="21"/>
                <w:szCs w:val="21"/>
              </w:rPr>
              <w:t>工种</w:t>
            </w:r>
          </w:p>
        </w:tc>
        <w:tc>
          <w:tcPr>
            <w:tcW w:w="7380" w:type="dxa"/>
            <w:gridSpan w:val="8"/>
            <w:noWrap/>
            <w:tcMar>
              <w:top w:w="15" w:type="dxa"/>
              <w:left w:w="15" w:type="dxa"/>
              <w:bottom w:w="0" w:type="dxa"/>
              <w:right w:w="15" w:type="dxa"/>
            </w:tcMar>
            <w:vAlign w:val="center"/>
          </w:tcPr>
          <w:p>
            <w:pPr>
              <w:jc w:val="center"/>
              <w:rPr>
                <w:rFonts w:ascii="宋体" w:hAnsi="宋体" w:cs="Arial"/>
                <w:color w:val="000000"/>
                <w:sz w:val="21"/>
                <w:szCs w:val="21"/>
              </w:rPr>
            </w:pPr>
            <w:r>
              <w:rPr>
                <w:rFonts w:ascii="宋体" w:hAnsi="宋体" w:cs="Arial"/>
                <w:color w:val="000000"/>
                <w:sz w:val="21"/>
                <w:szCs w:val="21"/>
              </w:rPr>
              <w:t>按</w:t>
            </w:r>
            <w:r>
              <w:rPr>
                <w:rFonts w:hint="eastAsia" w:ascii="宋体" w:hAnsi="宋体" w:cs="Arial"/>
                <w:color w:val="000000"/>
                <w:sz w:val="21"/>
                <w:szCs w:val="21"/>
                <w:lang w:val="en-US" w:eastAsia="zh-CN"/>
              </w:rPr>
              <w:t>区域</w:t>
            </w:r>
            <w:r>
              <w:rPr>
                <w:rFonts w:ascii="宋体" w:hAnsi="宋体" w:cs="Arial"/>
                <w:color w:val="000000"/>
                <w:sz w:val="21"/>
                <w:szCs w:val="21"/>
              </w:rPr>
              <w:t>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5" w:hRule="atLeast"/>
        </w:trPr>
        <w:tc>
          <w:tcPr>
            <w:tcW w:w="1095" w:type="dxa"/>
            <w:vMerge w:val="continue"/>
            <w:noWrap w:val="0"/>
            <w:vAlign w:val="center"/>
          </w:tcPr>
          <w:p>
            <w:pPr>
              <w:jc w:val="center"/>
              <w:rPr>
                <w:rFonts w:ascii="宋体" w:hAnsi="宋体" w:cs="Arial"/>
                <w:color w:val="000000"/>
                <w:sz w:val="21"/>
                <w:szCs w:val="21"/>
              </w:rPr>
            </w:pPr>
          </w:p>
        </w:tc>
        <w:tc>
          <w:tcPr>
            <w:tcW w:w="922" w:type="dxa"/>
            <w:noWrap w:val="0"/>
            <w:tcMar>
              <w:top w:w="15" w:type="dxa"/>
              <w:left w:w="15" w:type="dxa"/>
              <w:bottom w:w="0" w:type="dxa"/>
              <w:right w:w="15" w:type="dxa"/>
            </w:tcMar>
            <w:vAlign w:val="top"/>
          </w:tcPr>
          <w:p>
            <w:pPr>
              <w:jc w:val="center"/>
              <w:rPr>
                <w:rFonts w:hint="eastAsia" w:ascii="宋体" w:hAnsi="宋体"/>
                <w:color w:val="auto"/>
                <w:sz w:val="21"/>
                <w:szCs w:val="21"/>
                <w:lang w:val="zh-CN"/>
              </w:rPr>
            </w:pPr>
            <w:r>
              <w:rPr>
                <w:rFonts w:hint="eastAsia" w:ascii="宋体" w:hAnsi="宋体"/>
                <w:color w:val="auto"/>
                <w:sz w:val="21"/>
                <w:szCs w:val="21"/>
                <w:lang w:val="zh-CN"/>
              </w:rPr>
              <w:t>周至县城</w:t>
            </w:r>
          </w:p>
          <w:p>
            <w:pPr>
              <w:jc w:val="center"/>
              <w:rPr>
                <w:rFonts w:ascii="宋体" w:hAnsi="宋体" w:cs="Arial"/>
                <w:color w:val="000000"/>
                <w:sz w:val="21"/>
                <w:szCs w:val="21"/>
              </w:rPr>
            </w:pPr>
            <w:r>
              <w:rPr>
                <w:rFonts w:hint="eastAsia" w:ascii="宋体" w:hAnsi="宋体"/>
                <w:color w:val="auto"/>
                <w:sz w:val="21"/>
                <w:szCs w:val="21"/>
                <w:lang w:val="zh-CN"/>
              </w:rPr>
              <w:t>1-22</w:t>
            </w:r>
          </w:p>
        </w:tc>
        <w:tc>
          <w:tcPr>
            <w:tcW w:w="923" w:type="dxa"/>
            <w:noWrap w:val="0"/>
            <w:tcMar>
              <w:top w:w="15" w:type="dxa"/>
              <w:left w:w="15" w:type="dxa"/>
              <w:bottom w:w="0" w:type="dxa"/>
              <w:right w:w="15" w:type="dxa"/>
            </w:tcMar>
            <w:vAlign w:val="top"/>
          </w:tcPr>
          <w:p>
            <w:pPr>
              <w:jc w:val="center"/>
              <w:rPr>
                <w:rFonts w:hint="eastAsia" w:ascii="宋体" w:hAnsi="宋体"/>
                <w:color w:val="auto"/>
                <w:sz w:val="21"/>
                <w:szCs w:val="21"/>
                <w:lang w:val="zh-CN"/>
              </w:rPr>
            </w:pPr>
            <w:r>
              <w:rPr>
                <w:rFonts w:hint="eastAsia" w:ascii="宋体" w:hAnsi="宋体"/>
                <w:color w:val="auto"/>
                <w:sz w:val="21"/>
                <w:szCs w:val="21"/>
                <w:lang w:val="zh-CN"/>
              </w:rPr>
              <w:t>周至集贤</w:t>
            </w:r>
          </w:p>
          <w:p>
            <w:pPr>
              <w:jc w:val="center"/>
              <w:rPr>
                <w:rFonts w:ascii="宋体" w:hAnsi="宋体" w:cs="Arial"/>
                <w:color w:val="000000"/>
                <w:sz w:val="21"/>
                <w:szCs w:val="21"/>
              </w:rPr>
            </w:pPr>
            <w:r>
              <w:rPr>
                <w:rFonts w:hint="eastAsia" w:ascii="宋体" w:hAnsi="宋体"/>
                <w:color w:val="auto"/>
                <w:sz w:val="21"/>
                <w:szCs w:val="21"/>
                <w:lang w:val="zh-CN"/>
              </w:rPr>
              <w:t>23-28</w:t>
            </w:r>
          </w:p>
        </w:tc>
        <w:tc>
          <w:tcPr>
            <w:tcW w:w="922" w:type="dxa"/>
            <w:noWrap w:val="0"/>
            <w:tcMar>
              <w:top w:w="15" w:type="dxa"/>
              <w:left w:w="15" w:type="dxa"/>
              <w:bottom w:w="0" w:type="dxa"/>
              <w:right w:w="15" w:type="dxa"/>
            </w:tcMar>
            <w:vAlign w:val="top"/>
          </w:tcPr>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周至楼观</w:t>
            </w:r>
          </w:p>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29-38</w:t>
            </w:r>
          </w:p>
          <w:p>
            <w:pPr>
              <w:jc w:val="center"/>
              <w:rPr>
                <w:rFonts w:ascii="宋体" w:hAnsi="宋体" w:cs="Arial"/>
                <w:color w:val="000000"/>
                <w:sz w:val="21"/>
                <w:szCs w:val="21"/>
              </w:rPr>
            </w:pPr>
          </w:p>
        </w:tc>
        <w:tc>
          <w:tcPr>
            <w:tcW w:w="923" w:type="dxa"/>
            <w:noWrap w:val="0"/>
            <w:tcMar>
              <w:top w:w="15" w:type="dxa"/>
              <w:left w:w="15" w:type="dxa"/>
              <w:bottom w:w="0" w:type="dxa"/>
              <w:right w:w="15" w:type="dxa"/>
            </w:tcMar>
            <w:vAlign w:val="top"/>
          </w:tcPr>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周至马昭</w:t>
            </w:r>
          </w:p>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39-49</w:t>
            </w:r>
          </w:p>
          <w:p>
            <w:pPr>
              <w:jc w:val="center"/>
              <w:rPr>
                <w:rFonts w:ascii="宋体" w:hAnsi="宋体" w:cs="Arial"/>
                <w:color w:val="000000"/>
                <w:sz w:val="21"/>
                <w:szCs w:val="21"/>
              </w:rPr>
            </w:pPr>
          </w:p>
        </w:tc>
        <w:tc>
          <w:tcPr>
            <w:tcW w:w="922" w:type="dxa"/>
            <w:noWrap w:val="0"/>
            <w:tcMar>
              <w:top w:w="15" w:type="dxa"/>
              <w:left w:w="15" w:type="dxa"/>
              <w:bottom w:w="0" w:type="dxa"/>
              <w:right w:w="15" w:type="dxa"/>
            </w:tcMar>
            <w:vAlign w:val="top"/>
          </w:tcPr>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周至哑柏</w:t>
            </w:r>
          </w:p>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50-68</w:t>
            </w:r>
          </w:p>
          <w:p>
            <w:pPr>
              <w:jc w:val="center"/>
              <w:rPr>
                <w:rFonts w:ascii="宋体" w:hAnsi="宋体" w:cs="Arial"/>
                <w:color w:val="000000"/>
                <w:sz w:val="21"/>
                <w:szCs w:val="21"/>
              </w:rPr>
            </w:pPr>
          </w:p>
        </w:tc>
        <w:tc>
          <w:tcPr>
            <w:tcW w:w="923" w:type="dxa"/>
            <w:noWrap w:val="0"/>
            <w:tcMar>
              <w:top w:w="15" w:type="dxa"/>
              <w:left w:w="15" w:type="dxa"/>
              <w:bottom w:w="0" w:type="dxa"/>
              <w:right w:w="15" w:type="dxa"/>
            </w:tcMar>
            <w:vAlign w:val="top"/>
          </w:tcPr>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周至终南</w:t>
            </w:r>
          </w:p>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69-77</w:t>
            </w:r>
          </w:p>
          <w:p>
            <w:pPr>
              <w:jc w:val="center"/>
              <w:rPr>
                <w:rFonts w:ascii="宋体" w:hAnsi="宋体" w:cs="Arial"/>
                <w:color w:val="000000"/>
                <w:sz w:val="21"/>
                <w:szCs w:val="21"/>
              </w:rPr>
            </w:pPr>
          </w:p>
        </w:tc>
        <w:tc>
          <w:tcPr>
            <w:tcW w:w="922" w:type="dxa"/>
            <w:noWrap w:val="0"/>
            <w:tcMar>
              <w:top w:w="15" w:type="dxa"/>
              <w:left w:w="15" w:type="dxa"/>
              <w:bottom w:w="0" w:type="dxa"/>
              <w:right w:w="15" w:type="dxa"/>
            </w:tcMar>
            <w:vAlign w:val="top"/>
          </w:tcPr>
          <w:p>
            <w:pPr>
              <w:jc w:val="center"/>
              <w:rPr>
                <w:rFonts w:hint="eastAsia" w:ascii="宋体" w:hAnsi="宋体"/>
                <w:color w:val="auto"/>
                <w:sz w:val="21"/>
                <w:szCs w:val="21"/>
                <w:lang w:val="zh-CN"/>
              </w:rPr>
            </w:pPr>
            <w:r>
              <w:rPr>
                <w:rFonts w:hint="eastAsia" w:ascii="宋体" w:hAnsi="宋体"/>
                <w:color w:val="auto"/>
                <w:sz w:val="21"/>
                <w:szCs w:val="21"/>
                <w:lang w:val="zh-CN"/>
              </w:rPr>
              <w:t>隐患点</w:t>
            </w:r>
          </w:p>
          <w:p>
            <w:pPr>
              <w:spacing w:beforeLines="0" w:afterLines="0"/>
              <w:jc w:val="center"/>
              <w:rPr>
                <w:rFonts w:hint="eastAsia" w:ascii="宋体" w:hAnsi="宋体"/>
                <w:color w:val="auto"/>
                <w:sz w:val="21"/>
                <w:szCs w:val="21"/>
                <w:lang w:val="zh-CN"/>
              </w:rPr>
            </w:pPr>
            <w:r>
              <w:rPr>
                <w:rFonts w:hint="eastAsia" w:ascii="宋体" w:hAnsi="宋体"/>
                <w:color w:val="auto"/>
                <w:sz w:val="21"/>
                <w:szCs w:val="21"/>
                <w:lang w:val="zh-CN"/>
              </w:rPr>
              <w:t>ZZJT-ZN-001</w:t>
            </w:r>
            <w:r>
              <w:rPr>
                <w:rFonts w:hint="eastAsia" w:hAnsi="宋体"/>
                <w:color w:val="auto"/>
                <w:sz w:val="21"/>
                <w:szCs w:val="21"/>
                <w:lang w:val="en-US" w:eastAsia="zh-CN"/>
              </w:rPr>
              <w:t>~</w:t>
            </w:r>
            <w:r>
              <w:rPr>
                <w:rFonts w:hint="eastAsia" w:ascii="宋体" w:hAnsi="宋体"/>
                <w:color w:val="auto"/>
                <w:sz w:val="21"/>
                <w:szCs w:val="21"/>
                <w:lang w:val="zh-CN"/>
              </w:rPr>
              <w:t>ZZJT-ZN-019</w:t>
            </w:r>
          </w:p>
          <w:p>
            <w:pPr>
              <w:jc w:val="center"/>
              <w:rPr>
                <w:rFonts w:hint="eastAsia" w:ascii="宋体" w:hAnsi="宋体"/>
                <w:color w:val="auto"/>
                <w:sz w:val="21"/>
                <w:szCs w:val="21"/>
                <w:lang w:val="zh-CN"/>
              </w:rPr>
            </w:pPr>
          </w:p>
        </w:tc>
        <w:tc>
          <w:tcPr>
            <w:tcW w:w="923" w:type="dxa"/>
            <w:noWrap w:val="0"/>
            <w:tcMar>
              <w:top w:w="15" w:type="dxa"/>
              <w:left w:w="15" w:type="dxa"/>
              <w:bottom w:w="0" w:type="dxa"/>
              <w:right w:w="15" w:type="dxa"/>
            </w:tcMar>
            <w:vAlign w:val="top"/>
          </w:tcPr>
          <w:p>
            <w:pPr>
              <w:jc w:val="center"/>
              <w:rPr>
                <w:rFonts w:hint="eastAsia" w:ascii="宋体" w:hAnsi="宋体" w:cs="Arial"/>
                <w:color w:val="000000"/>
                <w:sz w:val="21"/>
                <w:szCs w:val="21"/>
              </w:rPr>
            </w:pPr>
            <w:r>
              <w:rPr>
                <w:rFonts w:hint="eastAsia" w:ascii="宋体" w:hAnsi="宋体" w:cs="Arial"/>
                <w:color w:val="000000"/>
                <w:sz w:val="21"/>
                <w:szCs w:val="21"/>
              </w:rPr>
              <w:t>周至交警大队</w:t>
            </w:r>
          </w:p>
          <w:p>
            <w:pPr>
              <w:jc w:val="center"/>
              <w:rPr>
                <w:rFonts w:hint="eastAsia" w:ascii="宋体" w:hAnsi="宋体" w:eastAsia="宋体" w:cs="Arial"/>
                <w:color w:val="000000"/>
                <w:sz w:val="21"/>
                <w:szCs w:val="21"/>
                <w:lang w:val="en-US" w:eastAsia="zh-CN"/>
              </w:rPr>
            </w:pPr>
            <w:r>
              <w:rPr>
                <w:rFonts w:hint="eastAsia" w:hAnsi="宋体" w:cs="Arial"/>
                <w:color w:val="000000"/>
                <w:sz w:val="21"/>
                <w:szCs w:val="21"/>
                <w:lang w:val="en-US" w:eastAsia="zh-CN"/>
              </w:rPr>
              <w:t>本部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9" w:hRule="atLeast"/>
        </w:trPr>
        <w:tc>
          <w:tcPr>
            <w:tcW w:w="1095"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项目副经理</w:t>
            </w:r>
          </w:p>
        </w:tc>
        <w:tc>
          <w:tcPr>
            <w:tcW w:w="922" w:type="dxa"/>
            <w:noWrap/>
            <w:tcMar>
              <w:top w:w="15" w:type="dxa"/>
              <w:left w:w="15" w:type="dxa"/>
              <w:bottom w:w="0" w:type="dxa"/>
              <w:right w:w="15" w:type="dxa"/>
            </w:tcMar>
            <w:vAlign w:val="center"/>
          </w:tcPr>
          <w:p>
            <w:pPr>
              <w:jc w:val="center"/>
              <w:rPr>
                <w:rFonts w:ascii="宋体" w:hAnsi="宋体" w:cs="Arial"/>
                <w:color w:val="000000"/>
                <w:sz w:val="21"/>
                <w:szCs w:val="21"/>
              </w:rPr>
            </w:pPr>
            <w:r>
              <w:rPr>
                <w:rFonts w:ascii="宋体" w:hAnsi="宋体" w:cs="Arial"/>
                <w:color w:val="000000"/>
                <w:sz w:val="21"/>
                <w:szCs w:val="21"/>
              </w:rPr>
              <w:t>1</w:t>
            </w:r>
          </w:p>
        </w:tc>
        <w:tc>
          <w:tcPr>
            <w:tcW w:w="923"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ascii="宋体" w:hAnsi="宋体" w:cs="Arial"/>
                <w:color w:val="000000"/>
                <w:sz w:val="21"/>
                <w:szCs w:val="21"/>
              </w:rPr>
              <w:t>1</w:t>
            </w:r>
          </w:p>
        </w:tc>
        <w:tc>
          <w:tcPr>
            <w:tcW w:w="922"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1</w:t>
            </w:r>
          </w:p>
        </w:tc>
        <w:tc>
          <w:tcPr>
            <w:tcW w:w="923"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1</w:t>
            </w:r>
          </w:p>
        </w:tc>
        <w:tc>
          <w:tcPr>
            <w:tcW w:w="922"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1</w:t>
            </w:r>
          </w:p>
        </w:tc>
        <w:tc>
          <w:tcPr>
            <w:tcW w:w="923"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1</w:t>
            </w:r>
          </w:p>
        </w:tc>
        <w:tc>
          <w:tcPr>
            <w:tcW w:w="922" w:type="dxa"/>
            <w:noWrap/>
            <w:tcMar>
              <w:top w:w="15" w:type="dxa"/>
              <w:left w:w="15" w:type="dxa"/>
              <w:bottom w:w="0" w:type="dxa"/>
              <w:right w:w="15" w:type="dxa"/>
            </w:tcMar>
            <w:vAlign w:val="center"/>
          </w:tcPr>
          <w:p>
            <w:pPr>
              <w:jc w:val="center"/>
              <w:rPr>
                <w:rFonts w:ascii="宋体" w:hAnsi="宋体" w:cs="Arial"/>
                <w:color w:val="000000"/>
                <w:sz w:val="21"/>
                <w:szCs w:val="21"/>
              </w:rPr>
            </w:pPr>
            <w:r>
              <w:rPr>
                <w:rFonts w:ascii="宋体" w:hAnsi="宋体" w:cs="Arial"/>
                <w:color w:val="000000"/>
                <w:sz w:val="21"/>
                <w:szCs w:val="21"/>
              </w:rPr>
              <w:t>1</w:t>
            </w:r>
          </w:p>
        </w:tc>
        <w:tc>
          <w:tcPr>
            <w:tcW w:w="923"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ascii="宋体" w:hAnsi="宋体" w:cs="Arial"/>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 w:hRule="atLeast"/>
        </w:trPr>
        <w:tc>
          <w:tcPr>
            <w:tcW w:w="1095"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hAnsi="宋体" w:cs="Arial"/>
                <w:color w:val="000000"/>
                <w:sz w:val="21"/>
                <w:szCs w:val="21"/>
                <w:lang w:val="en-US" w:eastAsia="zh-CN"/>
              </w:rPr>
              <w:t>后勤员</w:t>
            </w:r>
          </w:p>
        </w:tc>
        <w:tc>
          <w:tcPr>
            <w:tcW w:w="922"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2</w:t>
            </w:r>
          </w:p>
        </w:tc>
        <w:tc>
          <w:tcPr>
            <w:tcW w:w="923"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ascii="宋体" w:hAnsi="宋体" w:cs="Arial"/>
                <w:color w:val="000000"/>
                <w:sz w:val="21"/>
                <w:szCs w:val="21"/>
              </w:rPr>
              <w:t>1</w:t>
            </w:r>
          </w:p>
        </w:tc>
        <w:tc>
          <w:tcPr>
            <w:tcW w:w="922"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hAnsi="宋体" w:cs="Arial"/>
                <w:color w:val="000000"/>
                <w:sz w:val="21"/>
                <w:szCs w:val="21"/>
                <w:lang w:val="en-US" w:eastAsia="zh-CN"/>
              </w:rPr>
              <w:t>1</w:t>
            </w:r>
          </w:p>
        </w:tc>
        <w:tc>
          <w:tcPr>
            <w:tcW w:w="923"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hAnsi="宋体" w:cs="Arial"/>
                <w:color w:val="000000"/>
                <w:sz w:val="21"/>
                <w:szCs w:val="21"/>
                <w:lang w:val="en-US" w:eastAsia="zh-CN"/>
              </w:rPr>
              <w:t>1</w:t>
            </w:r>
          </w:p>
        </w:tc>
        <w:tc>
          <w:tcPr>
            <w:tcW w:w="922"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hAnsi="宋体" w:cs="Arial"/>
                <w:color w:val="000000"/>
                <w:sz w:val="21"/>
                <w:szCs w:val="21"/>
                <w:lang w:val="en-US" w:eastAsia="zh-CN"/>
              </w:rPr>
              <w:t>2</w:t>
            </w:r>
          </w:p>
        </w:tc>
        <w:tc>
          <w:tcPr>
            <w:tcW w:w="923"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hAnsi="宋体" w:cs="Arial"/>
                <w:color w:val="000000"/>
                <w:sz w:val="21"/>
                <w:szCs w:val="21"/>
                <w:lang w:val="en-US" w:eastAsia="zh-CN"/>
              </w:rPr>
              <w:t>1</w:t>
            </w:r>
          </w:p>
        </w:tc>
        <w:tc>
          <w:tcPr>
            <w:tcW w:w="922"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2</w:t>
            </w:r>
          </w:p>
        </w:tc>
        <w:tc>
          <w:tcPr>
            <w:tcW w:w="923" w:type="dxa"/>
            <w:noWrap/>
            <w:tcMar>
              <w:top w:w="15" w:type="dxa"/>
              <w:left w:w="15" w:type="dxa"/>
              <w:bottom w:w="0" w:type="dxa"/>
              <w:right w:w="15" w:type="dxa"/>
            </w:tcMar>
            <w:vAlign w:val="center"/>
          </w:tcPr>
          <w:p>
            <w:pPr>
              <w:jc w:val="center"/>
              <w:rPr>
                <w:rFonts w:ascii="宋体" w:hAnsi="宋体" w:cs="Arial"/>
                <w:color w:val="000000"/>
                <w:sz w:val="21"/>
                <w:szCs w:val="21"/>
              </w:rPr>
            </w:pPr>
            <w:r>
              <w:rPr>
                <w:rFonts w:hint="eastAsia" w:ascii="宋体" w:hAnsi="宋体" w:cs="Arial"/>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3" w:hRule="atLeast"/>
        </w:trPr>
        <w:tc>
          <w:tcPr>
            <w:tcW w:w="1095" w:type="dxa"/>
            <w:noWrap/>
            <w:tcMar>
              <w:top w:w="15" w:type="dxa"/>
              <w:left w:w="15" w:type="dxa"/>
              <w:bottom w:w="0" w:type="dxa"/>
              <w:right w:w="15" w:type="dxa"/>
            </w:tcMar>
            <w:vAlign w:val="center"/>
          </w:tcPr>
          <w:p>
            <w:pPr>
              <w:jc w:val="center"/>
              <w:rPr>
                <w:rFonts w:ascii="宋体" w:hAnsi="宋体" w:cs="Arial"/>
                <w:color w:val="000000"/>
                <w:sz w:val="21"/>
                <w:szCs w:val="21"/>
              </w:rPr>
            </w:pPr>
            <w:r>
              <w:rPr>
                <w:rFonts w:ascii="宋体" w:hAnsi="宋体" w:cs="Arial"/>
                <w:color w:val="000000"/>
                <w:sz w:val="21"/>
                <w:szCs w:val="21"/>
              </w:rPr>
              <w:t>施工人员</w:t>
            </w:r>
          </w:p>
        </w:tc>
        <w:tc>
          <w:tcPr>
            <w:tcW w:w="922" w:type="dxa"/>
            <w:noWrap/>
            <w:tcMar>
              <w:top w:w="15" w:type="dxa"/>
              <w:left w:w="15" w:type="dxa"/>
              <w:bottom w:w="0" w:type="dxa"/>
              <w:right w:w="15" w:type="dxa"/>
            </w:tcMar>
            <w:vAlign w:val="center"/>
          </w:tcPr>
          <w:p>
            <w:pPr>
              <w:jc w:val="center"/>
              <w:rPr>
                <w:rFonts w:hint="default" w:ascii="宋体" w:hAnsi="宋体" w:eastAsia="宋体" w:cs="Arial"/>
                <w:color w:val="000000"/>
                <w:sz w:val="21"/>
                <w:szCs w:val="21"/>
                <w:lang w:val="en-US" w:eastAsia="zh-CN"/>
              </w:rPr>
            </w:pPr>
            <w:r>
              <w:rPr>
                <w:rFonts w:hint="eastAsia" w:hAnsi="宋体" w:cs="Arial"/>
                <w:color w:val="000000"/>
                <w:sz w:val="21"/>
                <w:szCs w:val="21"/>
                <w:lang w:val="en-US" w:eastAsia="zh-CN"/>
              </w:rPr>
              <w:t>12</w:t>
            </w:r>
          </w:p>
        </w:tc>
        <w:tc>
          <w:tcPr>
            <w:tcW w:w="923"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6</w:t>
            </w:r>
          </w:p>
        </w:tc>
        <w:tc>
          <w:tcPr>
            <w:tcW w:w="922"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6</w:t>
            </w:r>
          </w:p>
        </w:tc>
        <w:tc>
          <w:tcPr>
            <w:tcW w:w="923"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6</w:t>
            </w:r>
          </w:p>
        </w:tc>
        <w:tc>
          <w:tcPr>
            <w:tcW w:w="922" w:type="dxa"/>
            <w:noWrap/>
            <w:tcMar>
              <w:top w:w="15" w:type="dxa"/>
              <w:left w:w="15" w:type="dxa"/>
              <w:bottom w:w="0" w:type="dxa"/>
              <w:right w:w="15" w:type="dxa"/>
            </w:tcMar>
            <w:vAlign w:val="center"/>
          </w:tcPr>
          <w:p>
            <w:pPr>
              <w:jc w:val="center"/>
              <w:rPr>
                <w:rFonts w:hint="default" w:ascii="宋体" w:hAnsi="宋体" w:eastAsia="宋体" w:cs="Arial"/>
                <w:color w:val="000000"/>
                <w:sz w:val="21"/>
                <w:szCs w:val="21"/>
                <w:lang w:val="en-US" w:eastAsia="zh-CN"/>
              </w:rPr>
            </w:pPr>
            <w:r>
              <w:rPr>
                <w:rFonts w:hint="eastAsia" w:hAnsi="宋体" w:cs="Arial"/>
                <w:color w:val="000000"/>
                <w:sz w:val="21"/>
                <w:szCs w:val="21"/>
                <w:lang w:val="en-US" w:eastAsia="zh-CN"/>
              </w:rPr>
              <w:t>12</w:t>
            </w:r>
          </w:p>
        </w:tc>
        <w:tc>
          <w:tcPr>
            <w:tcW w:w="923"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6</w:t>
            </w:r>
          </w:p>
        </w:tc>
        <w:tc>
          <w:tcPr>
            <w:tcW w:w="922" w:type="dxa"/>
            <w:noWrap/>
            <w:tcMar>
              <w:top w:w="15" w:type="dxa"/>
              <w:left w:w="15" w:type="dxa"/>
              <w:bottom w:w="0" w:type="dxa"/>
              <w:right w:w="15" w:type="dxa"/>
            </w:tcMar>
            <w:vAlign w:val="center"/>
          </w:tcPr>
          <w:p>
            <w:pPr>
              <w:jc w:val="center"/>
              <w:rPr>
                <w:rFonts w:hint="eastAsia" w:ascii="宋体" w:hAnsi="宋体" w:eastAsia="宋体" w:cs="Arial"/>
                <w:color w:val="000000"/>
                <w:sz w:val="21"/>
                <w:szCs w:val="21"/>
                <w:lang w:eastAsia="zh-CN"/>
              </w:rPr>
            </w:pPr>
            <w:r>
              <w:rPr>
                <w:rFonts w:hint="eastAsia" w:hAnsi="宋体" w:cs="Arial"/>
                <w:color w:val="000000"/>
                <w:sz w:val="21"/>
                <w:szCs w:val="21"/>
                <w:lang w:val="en-US" w:eastAsia="zh-CN"/>
              </w:rPr>
              <w:t>6</w:t>
            </w:r>
          </w:p>
        </w:tc>
        <w:tc>
          <w:tcPr>
            <w:tcW w:w="923" w:type="dxa"/>
            <w:noWrap/>
            <w:tcMar>
              <w:top w:w="15" w:type="dxa"/>
              <w:left w:w="15" w:type="dxa"/>
              <w:bottom w:w="0" w:type="dxa"/>
              <w:right w:w="15" w:type="dxa"/>
            </w:tcMar>
            <w:vAlign w:val="center"/>
          </w:tcPr>
          <w:p>
            <w:pPr>
              <w:jc w:val="center"/>
              <w:rPr>
                <w:rFonts w:hint="default" w:ascii="宋体" w:hAnsi="宋体" w:eastAsia="宋体" w:cs="Arial"/>
                <w:color w:val="000000"/>
                <w:sz w:val="21"/>
                <w:szCs w:val="21"/>
                <w:lang w:val="en-US" w:eastAsia="zh-CN"/>
              </w:rPr>
            </w:pPr>
            <w:r>
              <w:rPr>
                <w:rFonts w:hint="eastAsia" w:hAnsi="宋体" w:cs="Arial"/>
                <w:color w:val="000000"/>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trPr>
        <w:tc>
          <w:tcPr>
            <w:tcW w:w="1095" w:type="dxa"/>
            <w:noWrap/>
            <w:tcMar>
              <w:top w:w="15" w:type="dxa"/>
              <w:left w:w="15" w:type="dxa"/>
              <w:bottom w:w="0" w:type="dxa"/>
              <w:right w:w="15" w:type="dxa"/>
            </w:tcMar>
            <w:vAlign w:val="center"/>
          </w:tcPr>
          <w:p>
            <w:pPr>
              <w:jc w:val="center"/>
              <w:rPr>
                <w:rFonts w:ascii="宋体" w:hAnsi="宋体" w:cs="Arial"/>
                <w:color w:val="000000"/>
                <w:sz w:val="21"/>
                <w:szCs w:val="21"/>
              </w:rPr>
            </w:pPr>
            <w:r>
              <w:rPr>
                <w:rFonts w:ascii="宋体" w:hAnsi="宋体" w:cs="Arial"/>
                <w:color w:val="000000"/>
                <w:sz w:val="21"/>
                <w:szCs w:val="21"/>
              </w:rPr>
              <w:t>合计</w:t>
            </w:r>
          </w:p>
        </w:tc>
        <w:tc>
          <w:tcPr>
            <w:tcW w:w="922"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15</w:t>
            </w:r>
            <w:r>
              <w:rPr>
                <w:rFonts w:hint="default" w:ascii="宋体" w:hAnsi="宋体" w:cs="Arial"/>
                <w:color w:val="000000"/>
                <w:sz w:val="21"/>
                <w:szCs w:val="21"/>
              </w:rPr>
              <w:fldChar w:fldCharType="end"/>
            </w:r>
          </w:p>
        </w:tc>
        <w:tc>
          <w:tcPr>
            <w:tcW w:w="923"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8</w:t>
            </w:r>
            <w:r>
              <w:rPr>
                <w:rFonts w:hint="default" w:ascii="宋体" w:hAnsi="宋体" w:cs="Arial"/>
                <w:color w:val="000000"/>
                <w:sz w:val="21"/>
                <w:szCs w:val="21"/>
              </w:rPr>
              <w:fldChar w:fldCharType="end"/>
            </w:r>
          </w:p>
        </w:tc>
        <w:tc>
          <w:tcPr>
            <w:tcW w:w="922"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8</w:t>
            </w:r>
            <w:r>
              <w:rPr>
                <w:rFonts w:hint="default" w:ascii="宋体" w:hAnsi="宋体" w:cs="Arial"/>
                <w:color w:val="000000"/>
                <w:sz w:val="21"/>
                <w:szCs w:val="21"/>
              </w:rPr>
              <w:fldChar w:fldCharType="end"/>
            </w:r>
          </w:p>
        </w:tc>
        <w:tc>
          <w:tcPr>
            <w:tcW w:w="923"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8</w:t>
            </w:r>
            <w:r>
              <w:rPr>
                <w:rFonts w:hint="default" w:ascii="宋体" w:hAnsi="宋体" w:cs="Arial"/>
                <w:color w:val="000000"/>
                <w:sz w:val="21"/>
                <w:szCs w:val="21"/>
              </w:rPr>
              <w:fldChar w:fldCharType="end"/>
            </w:r>
          </w:p>
        </w:tc>
        <w:tc>
          <w:tcPr>
            <w:tcW w:w="922"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15</w:t>
            </w:r>
            <w:r>
              <w:rPr>
                <w:rFonts w:hint="default" w:ascii="宋体" w:hAnsi="宋体" w:cs="Arial"/>
                <w:color w:val="000000"/>
                <w:sz w:val="21"/>
                <w:szCs w:val="21"/>
              </w:rPr>
              <w:fldChar w:fldCharType="end"/>
            </w:r>
          </w:p>
        </w:tc>
        <w:tc>
          <w:tcPr>
            <w:tcW w:w="923"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8</w:t>
            </w:r>
            <w:r>
              <w:rPr>
                <w:rFonts w:hint="default" w:ascii="宋体" w:hAnsi="宋体" w:cs="Arial"/>
                <w:color w:val="000000"/>
                <w:sz w:val="21"/>
                <w:szCs w:val="21"/>
              </w:rPr>
              <w:fldChar w:fldCharType="end"/>
            </w:r>
          </w:p>
        </w:tc>
        <w:tc>
          <w:tcPr>
            <w:tcW w:w="922"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9</w:t>
            </w:r>
            <w:r>
              <w:rPr>
                <w:rFonts w:hint="default" w:ascii="宋体" w:hAnsi="宋体" w:cs="Arial"/>
                <w:color w:val="000000"/>
                <w:sz w:val="21"/>
                <w:szCs w:val="21"/>
              </w:rPr>
              <w:fldChar w:fldCharType="end"/>
            </w:r>
          </w:p>
        </w:tc>
        <w:tc>
          <w:tcPr>
            <w:tcW w:w="923" w:type="dxa"/>
            <w:noWrap/>
            <w:tcMar>
              <w:top w:w="15" w:type="dxa"/>
              <w:left w:w="15" w:type="dxa"/>
              <w:bottom w:w="0" w:type="dxa"/>
              <w:right w:w="15" w:type="dxa"/>
            </w:tcMar>
            <w:vAlign w:val="center"/>
          </w:tcPr>
          <w:p>
            <w:pPr>
              <w:jc w:val="center"/>
              <w:rPr>
                <w:rFonts w:hint="default" w:ascii="宋体" w:hAnsi="宋体" w:cs="Arial"/>
                <w:color w:val="000000"/>
                <w:sz w:val="21"/>
                <w:szCs w:val="21"/>
              </w:rPr>
            </w:pPr>
            <w:r>
              <w:rPr>
                <w:rFonts w:hint="default" w:ascii="宋体" w:hAnsi="宋体" w:cs="Arial"/>
                <w:color w:val="000000"/>
                <w:sz w:val="21"/>
                <w:szCs w:val="21"/>
              </w:rPr>
              <w:fldChar w:fldCharType="begin"/>
            </w:r>
            <w:r>
              <w:rPr>
                <w:rFonts w:hint="default" w:ascii="宋体" w:hAnsi="宋体" w:cs="Arial"/>
                <w:color w:val="000000"/>
                <w:sz w:val="21"/>
                <w:szCs w:val="21"/>
              </w:rPr>
              <w:instrText xml:space="preserve"> =SUM(ABOVE) \* MERGEFORMAT </w:instrText>
            </w:r>
            <w:r>
              <w:rPr>
                <w:rFonts w:hint="default" w:ascii="宋体" w:hAnsi="宋体" w:cs="Arial"/>
                <w:color w:val="000000"/>
                <w:sz w:val="21"/>
                <w:szCs w:val="21"/>
              </w:rPr>
              <w:fldChar w:fldCharType="separate"/>
            </w:r>
            <w:r>
              <w:rPr>
                <w:rFonts w:hint="default" w:ascii="宋体" w:hAnsi="宋体" w:cs="Arial"/>
                <w:color w:val="000000"/>
                <w:sz w:val="21"/>
                <w:szCs w:val="21"/>
              </w:rPr>
              <w:t>14</w:t>
            </w:r>
            <w:r>
              <w:rPr>
                <w:rFonts w:hint="default" w:ascii="宋体" w:hAnsi="宋体" w:cs="Arial"/>
                <w:color w:val="000000"/>
                <w:sz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trPr>
        <w:tc>
          <w:tcPr>
            <w:tcW w:w="8475" w:type="dxa"/>
            <w:gridSpan w:val="9"/>
            <w:noWrap/>
            <w:tcMar>
              <w:top w:w="15" w:type="dxa"/>
              <w:left w:w="15" w:type="dxa"/>
              <w:bottom w:w="0" w:type="dxa"/>
              <w:right w:w="15" w:type="dxa"/>
            </w:tcMar>
            <w:vAlign w:val="center"/>
          </w:tcPr>
          <w:p>
            <w:pPr>
              <w:ind w:left="340" w:leftChars="100" w:firstLine="0" w:firstLineChars="0"/>
              <w:jc w:val="left"/>
              <w:rPr>
                <w:rFonts w:hint="default" w:ascii="宋体" w:hAnsi="宋体" w:eastAsia="宋体" w:cs="Arial"/>
                <w:color w:val="000000"/>
                <w:sz w:val="21"/>
                <w:szCs w:val="21"/>
                <w:lang w:val="en-US" w:eastAsia="zh-CN"/>
              </w:rPr>
            </w:pPr>
            <w:r>
              <w:rPr>
                <w:rFonts w:hint="eastAsia" w:hAnsi="宋体" w:cs="Arial"/>
                <w:color w:val="000000"/>
                <w:sz w:val="21"/>
                <w:szCs w:val="21"/>
                <w:lang w:val="en-US" w:eastAsia="zh-CN"/>
              </w:rPr>
              <w:t>劳动力总数：88人</w:t>
            </w:r>
          </w:p>
        </w:tc>
      </w:tr>
    </w:tbl>
    <w:p>
      <w:pPr>
        <w:spacing w:line="360" w:lineRule="auto"/>
        <w:ind w:firstLine="480" w:firstLineChars="200"/>
        <w:rPr>
          <w:rFonts w:hint="eastAsia" w:ascii="宋体" w:hAnsi="宋体"/>
          <w:color w:val="000000"/>
          <w:sz w:val="24"/>
        </w:rPr>
      </w:pPr>
    </w:p>
    <w:p>
      <w:pPr>
        <w:pStyle w:val="3"/>
        <w:numPr>
          <w:ilvl w:val="1"/>
          <w:numId w:val="2"/>
        </w:numPr>
        <w:rPr>
          <w:rFonts w:hint="eastAsia" w:ascii="宋体" w:hAnsi="宋体" w:eastAsia="宋体"/>
          <w:sz w:val="30"/>
          <w:szCs w:val="30"/>
        </w:rPr>
      </w:pPr>
      <w:bookmarkStart w:id="99" w:name="_Toc26243"/>
      <w:bookmarkStart w:id="100" w:name="_Toc93674444"/>
      <w:bookmarkStart w:id="101" w:name="_Toc1423"/>
      <w:bookmarkStart w:id="102" w:name="_Toc8860"/>
      <w:bookmarkStart w:id="103" w:name="_Toc25059"/>
      <w:bookmarkStart w:id="104" w:name="_Toc1255"/>
      <w:r>
        <w:rPr>
          <w:rFonts w:ascii="宋体" w:hAnsi="宋体" w:eastAsia="宋体" w:cs="Arial"/>
          <w:bCs w:val="0"/>
          <w:color w:val="000000"/>
          <w:szCs w:val="28"/>
        </w:rPr>
        <w:t>施工准备</w:t>
      </w:r>
      <w:bookmarkEnd w:id="99"/>
      <w:bookmarkEnd w:id="100"/>
      <w:bookmarkEnd w:id="101"/>
      <w:bookmarkEnd w:id="102"/>
      <w:bookmarkEnd w:id="103"/>
      <w:bookmarkEnd w:id="104"/>
    </w:p>
    <w:p>
      <w:pPr>
        <w:pStyle w:val="12"/>
        <w:spacing w:line="360" w:lineRule="auto"/>
        <w:ind w:left="0" w:leftChars="0" w:firstLine="480" w:firstLineChars="200"/>
        <w:rPr>
          <w:rFonts w:hint="eastAsia" w:ascii="宋体" w:hAnsi="宋体" w:cs="Arial"/>
          <w:sz w:val="24"/>
        </w:rPr>
      </w:pPr>
      <w:r>
        <w:rPr>
          <w:rFonts w:ascii="宋体" w:hAnsi="宋体" w:cs="Arial"/>
          <w:sz w:val="24"/>
        </w:rPr>
        <w:t>工程建设的成功，不仅需要优秀的设计，更要优良的施工质量保证。而如何保证施工的质量？答案只有一个，那就是一切施工工艺要遵照规范和标准进行。本工程有关的安装施工与验收遵循的标准规范主要有：</w:t>
      </w:r>
    </w:p>
    <w:p>
      <w:pPr>
        <w:pStyle w:val="4"/>
        <w:numPr>
          <w:ilvl w:val="1"/>
          <w:numId w:val="24"/>
        </w:numPr>
        <w:tabs>
          <w:tab w:val="left" w:pos="900"/>
          <w:tab w:val="clear" w:pos="1271"/>
        </w:tabs>
        <w:ind w:left="900" w:hanging="720"/>
        <w:rPr>
          <w:rFonts w:hint="eastAsia" w:ascii="宋体" w:hAnsi="宋体"/>
          <w:sz w:val="28"/>
          <w:szCs w:val="28"/>
        </w:rPr>
      </w:pPr>
      <w:bookmarkStart w:id="105" w:name="_Toc32635"/>
      <w:bookmarkStart w:id="106" w:name="_Toc1629"/>
      <w:bookmarkStart w:id="107" w:name="_Toc23394"/>
      <w:bookmarkStart w:id="108" w:name="_Toc4921"/>
      <w:bookmarkStart w:id="109" w:name="_Toc29044"/>
      <w:r>
        <w:rPr>
          <w:sz w:val="28"/>
          <w:szCs w:val="28"/>
        </w:rPr>
        <w:t>有关规范和标准</w:t>
      </w:r>
      <w:bookmarkEnd w:id="105"/>
      <w:bookmarkEnd w:id="106"/>
      <w:bookmarkEnd w:id="107"/>
      <w:bookmarkEnd w:id="108"/>
      <w:bookmarkEnd w:id="109"/>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综合布线系统工程设计规范（GB 50311-2007）</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涉及国家秘密的计算机信息系统保密技术要求（BMZ1-2000）</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涉及国家秘密的计算机信息系统安全保密方案设计指南（BMZ2-2001）</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综合布线系统电气特性通用测试方法（YD/T 1013-1999）</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通信光缆系列 第 3 部分：综合布线系统用室内光缆（GB/T 13993.3-2002）</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工业企业通信设计规范（GBJ 42-81）</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工业企业通信接地设计规范（GBJ 79-85）</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工业企业程控用户交换机工程设计规范（GBJ 42-81）</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电气装置安装工程施工及验收规范（GBJ 232-92）</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通信用单模光纤系列（GB/T 9771-1998）</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通信用多模光纤系列（GB/T 12357-1990）</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光纤配线架（YD/T 778-1999）</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数字配线架（YD/T 779-1999）</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电子计算机机房设计规范（GB 50174-93）</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欧洲布线标准（EN 50173-2007，2007 年 5 月）</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商用建筑通信通道和空间标准（EIA/TIA 569B-2004）</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商用建筑电信设施管理标准（EIA/TIA-606A）</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综合布线系统总体要求（TIA/EIA 568B1-2001）</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商务楼通信建筑布线标准（TIA/EIA 568B2-2002）</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商业建筑通信布线系统标准 关于 6 类布线的定义（TIA/EIA 568B2.1-2002）</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商业建筑通信布线系统标准 光纤布线组件（TIA/EIA 568B3-2000）</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《建筑与建筑群综合布线系统工程设计规范》 (GB/T50311-2000)</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《建筑与建筑群综合布线系统工程验收规范》（GB/T50312-2000）</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《电子计算机房设计规范》（GB50174-1993）</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GB 50258-96《电气装置安装1KV及以下配线工程施工及验收规范》</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GB 50303-2002《建筑电气工程施工质量验收规范》</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EIA/TIA-607,《商用建筑通信接地接续要求》</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GB/T 50326-2001《建设工程项目管理规范》</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《中华人民共和国道路交通安全法》</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《中华人民共和国道路交通安全法实施条例》</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《公路交通安全实施设计技术规范》 (JTJ 074-2003)</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《闯红灯自动记录系统通用技术条件》（GA/T496-2009）</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《公路车辆智能检测记录系统通用技术条件》（GA/T497-2009）</w:t>
      </w:r>
    </w:p>
    <w:p>
      <w:pPr>
        <w:numPr>
          <w:ilvl w:val="0"/>
          <w:numId w:val="25"/>
        </w:numPr>
        <w:spacing w:line="360" w:lineRule="auto"/>
        <w:ind w:left="840" w:leftChars="0" w:hanging="420" w:firstLineChars="0"/>
        <w:rPr>
          <w:rFonts w:ascii="宋体" w:hAnsi="宋体"/>
          <w:sz w:val="24"/>
        </w:rPr>
      </w:pPr>
      <w:r>
        <w:rPr>
          <w:rFonts w:hint="eastAsia" w:ascii="宋体" w:hAnsi="宋体"/>
          <w:sz w:val="24"/>
        </w:rPr>
        <w:t>《道路交通安全违法行为图像取证技术规范》（GA/T832-2009）</w:t>
      </w:r>
    </w:p>
    <w:p>
      <w:pPr>
        <w:numPr>
          <w:ilvl w:val="0"/>
          <w:numId w:val="25"/>
        </w:numPr>
        <w:spacing w:line="360" w:lineRule="auto"/>
        <w:ind w:left="840" w:leftChars="0" w:hanging="420" w:firstLineChars="0"/>
        <w:rPr>
          <w:rFonts w:ascii="宋体" w:hAnsi="宋体"/>
          <w:sz w:val="24"/>
        </w:rPr>
      </w:pPr>
      <w:r>
        <w:rPr>
          <w:rFonts w:hint="eastAsia" w:ascii="宋体" w:hAnsi="宋体"/>
          <w:sz w:val="24"/>
        </w:rPr>
        <w:t>《道路交通安全违法行为视频取证设备技术规范》(GA/T995-2012)</w:t>
      </w:r>
    </w:p>
    <w:p>
      <w:pPr>
        <w:numPr>
          <w:ilvl w:val="0"/>
          <w:numId w:val="25"/>
        </w:numPr>
        <w:spacing w:line="360" w:lineRule="auto"/>
        <w:ind w:left="840" w:leftChars="0" w:hanging="420" w:firstLineChars="0"/>
        <w:rPr>
          <w:rFonts w:ascii="宋体" w:hAnsi="宋体"/>
          <w:sz w:val="24"/>
        </w:rPr>
      </w:pPr>
      <w:r>
        <w:rPr>
          <w:rFonts w:hint="eastAsia" w:ascii="宋体" w:hAnsi="宋体"/>
          <w:sz w:val="24"/>
        </w:rPr>
        <w:t>《安全防范视频监控联网系统信息传输</w:t>
      </w:r>
      <w:r>
        <w:rPr>
          <w:rFonts w:hint="eastAsia" w:hAnsi="宋体"/>
          <w:sz w:val="24"/>
          <w:lang w:eastAsia="zh-CN"/>
        </w:rPr>
        <w:t>、</w:t>
      </w:r>
      <w:r>
        <w:rPr>
          <w:rFonts w:hint="eastAsia" w:ascii="宋体" w:hAnsi="宋体"/>
          <w:sz w:val="24"/>
        </w:rPr>
        <w:t>交换</w:t>
      </w:r>
      <w:r>
        <w:rPr>
          <w:rFonts w:hint="eastAsia" w:hAnsi="宋体"/>
          <w:sz w:val="24"/>
          <w:lang w:eastAsia="zh-CN"/>
        </w:rPr>
        <w:t>、</w:t>
      </w:r>
      <w:r>
        <w:rPr>
          <w:rFonts w:hint="eastAsia" w:ascii="宋体" w:hAnsi="宋体"/>
          <w:sz w:val="24"/>
        </w:rPr>
        <w:t>控制技术要求》(GB/T 28181-2011)</w:t>
      </w:r>
    </w:p>
    <w:p>
      <w:pPr>
        <w:numPr>
          <w:ilvl w:val="0"/>
          <w:numId w:val="25"/>
        </w:numPr>
        <w:spacing w:line="360" w:lineRule="auto"/>
        <w:ind w:left="840" w:leftChars="0" w:hanging="420" w:firstLineChars="0"/>
        <w:rPr>
          <w:rFonts w:ascii="宋体" w:hAnsi="宋体"/>
          <w:sz w:val="24"/>
        </w:rPr>
      </w:pPr>
      <w:r>
        <w:rPr>
          <w:rFonts w:hint="eastAsia" w:ascii="宋体" w:hAnsi="宋体"/>
          <w:sz w:val="24"/>
        </w:rPr>
        <w:t>《公安交通指挥系统工程建设通用程序和要求》（GA/T651-2006）</w:t>
      </w:r>
    </w:p>
    <w:p>
      <w:pPr>
        <w:numPr>
          <w:ilvl w:val="0"/>
          <w:numId w:val="25"/>
        </w:numPr>
        <w:spacing w:line="360" w:lineRule="auto"/>
        <w:ind w:left="840" w:leftChars="0" w:hanging="420" w:firstLineChars="0"/>
        <w:rPr>
          <w:rFonts w:ascii="宋体" w:hAnsi="宋体"/>
          <w:sz w:val="24"/>
        </w:rPr>
      </w:pPr>
      <w:r>
        <w:rPr>
          <w:rFonts w:hint="eastAsia" w:ascii="宋体" w:hAnsi="宋体"/>
          <w:sz w:val="24"/>
        </w:rPr>
        <w:t>《公安交通管理外场设备基础施工通用要求》（GA/T652-2006）</w:t>
      </w:r>
    </w:p>
    <w:p>
      <w:pPr>
        <w:numPr>
          <w:ilvl w:val="0"/>
          <w:numId w:val="25"/>
        </w:numPr>
        <w:spacing w:line="360" w:lineRule="auto"/>
        <w:ind w:left="840" w:leftChars="0" w:hanging="420" w:firstLineChars="0"/>
        <w:rPr>
          <w:rFonts w:ascii="宋体" w:hAnsi="宋体"/>
          <w:sz w:val="24"/>
        </w:rPr>
      </w:pPr>
      <w:r>
        <w:rPr>
          <w:rFonts w:hint="eastAsia" w:ascii="宋体" w:hAnsi="宋体"/>
          <w:sz w:val="24"/>
        </w:rPr>
        <w:t>《公安交通指挥系统工程设计制图规范》（GA/T515-2004）</w:t>
      </w:r>
    </w:p>
    <w:p>
      <w:pPr>
        <w:numPr>
          <w:ilvl w:val="0"/>
          <w:numId w:val="25"/>
        </w:numPr>
        <w:spacing w:line="360" w:lineRule="auto"/>
        <w:ind w:left="840" w:leftChars="0" w:hanging="420" w:firstLineChars="0"/>
        <w:rPr>
          <w:rFonts w:ascii="宋体" w:hAnsi="宋体"/>
          <w:sz w:val="24"/>
        </w:rPr>
      </w:pPr>
      <w:r>
        <w:rPr>
          <w:rFonts w:hint="eastAsia" w:ascii="宋体" w:hAnsi="宋体"/>
          <w:sz w:val="24"/>
        </w:rPr>
        <w:t>《安全防范工程技术规范》(GB50348—2004)</w:t>
      </w:r>
    </w:p>
    <w:p>
      <w:pPr>
        <w:numPr>
          <w:ilvl w:val="0"/>
          <w:numId w:val="25"/>
        </w:numPr>
        <w:spacing w:line="360" w:lineRule="auto"/>
        <w:ind w:left="840" w:leftChars="0" w:hanging="420" w:firstLineChars="0"/>
        <w:rPr>
          <w:rFonts w:ascii="宋体" w:hAnsi="宋体"/>
          <w:sz w:val="24"/>
        </w:rPr>
      </w:pPr>
      <w:r>
        <w:rPr>
          <w:rFonts w:hint="eastAsia" w:ascii="宋体" w:hAnsi="宋体"/>
          <w:sz w:val="24"/>
        </w:rPr>
        <w:t>《安全防范系统雷电浪涌防护技术要求》（GA/T 670-2006）</w:t>
      </w:r>
    </w:p>
    <w:p>
      <w:pPr>
        <w:numPr>
          <w:ilvl w:val="0"/>
          <w:numId w:val="25"/>
        </w:numPr>
        <w:spacing w:line="360" w:lineRule="auto"/>
        <w:ind w:left="840" w:leftChars="0" w:hanging="420" w:firstLineChars="0"/>
        <w:rPr>
          <w:rFonts w:ascii="宋体" w:hAnsi="宋体"/>
          <w:sz w:val="24"/>
        </w:rPr>
      </w:pPr>
      <w:r>
        <w:rPr>
          <w:rFonts w:hint="eastAsia" w:ascii="宋体" w:hAnsi="宋体"/>
          <w:sz w:val="24"/>
        </w:rPr>
        <w:t>《交通电视监视系统工程验收规范》（GA/T 514-2004）</w:t>
      </w:r>
    </w:p>
    <w:p>
      <w:pPr>
        <w:numPr>
          <w:ilvl w:val="0"/>
          <w:numId w:val="25"/>
        </w:numPr>
        <w:spacing w:line="360" w:lineRule="auto"/>
        <w:ind w:left="840" w:leftChars="0" w:hanging="420" w:firstLineChars="0"/>
        <w:rPr>
          <w:rFonts w:ascii="宋体" w:hAnsi="宋体"/>
          <w:sz w:val="24"/>
        </w:rPr>
      </w:pPr>
      <w:r>
        <w:rPr>
          <w:rFonts w:hint="eastAsia" w:ascii="宋体" w:hAnsi="宋体"/>
          <w:sz w:val="24"/>
        </w:rPr>
        <w:t>全国城市道路交通管理“畅通工程”评价体系</w:t>
      </w:r>
    </w:p>
    <w:p>
      <w:pPr>
        <w:numPr>
          <w:ilvl w:val="0"/>
          <w:numId w:val="25"/>
        </w:numPr>
        <w:spacing w:line="360" w:lineRule="auto"/>
        <w:ind w:left="840" w:leftChars="0" w:hanging="420" w:firstLineChars="0"/>
        <w:rPr>
          <w:rFonts w:ascii="宋体" w:hAnsi="宋体"/>
          <w:sz w:val="24"/>
        </w:rPr>
      </w:pPr>
      <w:r>
        <w:rPr>
          <w:rFonts w:hint="eastAsia" w:ascii="宋体" w:hAnsi="宋体"/>
          <w:sz w:val="24"/>
        </w:rPr>
        <w:t>《道路交通信号控制机安装规范》（GA/T489-2004）</w:t>
      </w:r>
    </w:p>
    <w:p>
      <w:pPr>
        <w:numPr>
          <w:ilvl w:val="0"/>
          <w:numId w:val="25"/>
        </w:numPr>
        <w:spacing w:line="360" w:lineRule="auto"/>
        <w:ind w:left="840" w:leftChars="0" w:hanging="420" w:firstLineChars="0"/>
        <w:rPr>
          <w:rFonts w:ascii="宋体" w:hAnsi="宋体"/>
          <w:sz w:val="24"/>
        </w:rPr>
      </w:pPr>
      <w:r>
        <w:rPr>
          <w:rFonts w:hint="eastAsia" w:ascii="宋体" w:hAnsi="宋体"/>
          <w:sz w:val="24"/>
        </w:rPr>
        <w:t>《道路交通信号控制机》（GB25280-2010）</w:t>
      </w:r>
    </w:p>
    <w:p>
      <w:pPr>
        <w:numPr>
          <w:ilvl w:val="0"/>
          <w:numId w:val="25"/>
        </w:numPr>
        <w:spacing w:line="360" w:lineRule="auto"/>
        <w:ind w:left="840" w:leftChars="0" w:hanging="420" w:firstLineChars="0"/>
        <w:rPr>
          <w:rFonts w:ascii="宋体" w:hAnsi="宋体"/>
          <w:sz w:val="24"/>
        </w:rPr>
      </w:pPr>
      <w:r>
        <w:rPr>
          <w:rFonts w:hint="eastAsia" w:ascii="宋体" w:hAnsi="宋体"/>
          <w:sz w:val="24"/>
        </w:rPr>
        <w:t>《GA/T 508-2004道路交通信号倒计时显示器》</w:t>
      </w:r>
    </w:p>
    <w:p>
      <w:pPr>
        <w:numPr>
          <w:ilvl w:val="0"/>
          <w:numId w:val="25"/>
        </w:numPr>
        <w:spacing w:line="360" w:lineRule="auto"/>
        <w:ind w:left="840" w:leftChars="0" w:hanging="420" w:firstLineChars="0"/>
        <w:rPr>
          <w:rFonts w:ascii="宋体" w:hAnsi="宋体"/>
          <w:sz w:val="24"/>
        </w:rPr>
      </w:pPr>
      <w:r>
        <w:rPr>
          <w:rFonts w:hint="eastAsia" w:ascii="宋体" w:hAnsi="宋体"/>
          <w:sz w:val="24"/>
        </w:rPr>
        <w:t>《GA/T 920-2010道路交通信号控制机与车辆检测器间的通讯协议》</w:t>
      </w:r>
    </w:p>
    <w:p>
      <w:pPr>
        <w:numPr>
          <w:ilvl w:val="0"/>
          <w:numId w:val="25"/>
        </w:numPr>
        <w:spacing w:line="360" w:lineRule="auto"/>
        <w:ind w:left="840" w:leftChars="0" w:hanging="420" w:firstLineChars="0"/>
        <w:rPr>
          <w:rFonts w:ascii="宋体" w:hAnsi="宋体"/>
          <w:sz w:val="24"/>
        </w:rPr>
      </w:pPr>
      <w:r>
        <w:rPr>
          <w:rFonts w:hint="eastAsia" w:ascii="宋体" w:hAnsi="宋体"/>
          <w:sz w:val="24"/>
        </w:rPr>
        <w:t>《交通信号控制机与上位机间的数据通信协议》（GB/T 20999-2007）</w:t>
      </w:r>
    </w:p>
    <w:p>
      <w:pPr>
        <w:numPr>
          <w:ilvl w:val="0"/>
          <w:numId w:val="25"/>
        </w:numPr>
        <w:spacing w:line="360" w:lineRule="auto"/>
        <w:ind w:left="840" w:leftChars="0" w:hanging="420" w:firstLineChars="0"/>
        <w:rPr>
          <w:rFonts w:ascii="宋体" w:hAnsi="宋体"/>
          <w:sz w:val="24"/>
        </w:rPr>
      </w:pPr>
      <w:r>
        <w:rPr>
          <w:rFonts w:hint="eastAsia" w:ascii="宋体" w:hAnsi="宋体"/>
          <w:sz w:val="24"/>
        </w:rPr>
        <w:t>《公安交通控制系统工程设计制图规范》（GA/T515-2004）</w:t>
      </w:r>
    </w:p>
    <w:p>
      <w:pPr>
        <w:numPr>
          <w:ilvl w:val="0"/>
          <w:numId w:val="25"/>
        </w:numPr>
        <w:spacing w:line="360" w:lineRule="auto"/>
        <w:ind w:left="840" w:leftChars="0" w:hanging="420" w:firstLineChars="0"/>
        <w:rPr>
          <w:rFonts w:ascii="宋体" w:hAnsi="宋体"/>
          <w:sz w:val="24"/>
        </w:rPr>
      </w:pPr>
      <w:r>
        <w:rPr>
          <w:rFonts w:hint="eastAsia" w:ascii="宋体" w:hAnsi="宋体"/>
          <w:sz w:val="24"/>
        </w:rPr>
        <w:t>《城市道路交通信号控制方式适用规范》（GA/T527-2005）</w:t>
      </w:r>
    </w:p>
    <w:p>
      <w:pPr>
        <w:numPr>
          <w:ilvl w:val="0"/>
          <w:numId w:val="25"/>
        </w:numPr>
        <w:spacing w:line="360" w:lineRule="auto"/>
        <w:ind w:left="840" w:leftChars="0" w:hanging="420" w:firstLineChars="0"/>
        <w:rPr>
          <w:rFonts w:ascii="宋体" w:hAnsi="宋体"/>
          <w:sz w:val="24"/>
        </w:rPr>
      </w:pPr>
      <w:r>
        <w:rPr>
          <w:rFonts w:hint="eastAsia" w:ascii="宋体" w:hAnsi="宋体"/>
          <w:sz w:val="24"/>
        </w:rPr>
        <w:t>《城市交通信号控制系统术语》（GA/T509-2004）</w:t>
      </w:r>
    </w:p>
    <w:p>
      <w:pPr>
        <w:numPr>
          <w:ilvl w:val="0"/>
          <w:numId w:val="25"/>
        </w:numPr>
        <w:spacing w:line="360" w:lineRule="auto"/>
        <w:ind w:left="840" w:leftChars="0" w:hanging="420" w:firstLineChars="0"/>
        <w:rPr>
          <w:rFonts w:ascii="宋体" w:hAnsi="宋体"/>
          <w:sz w:val="24"/>
        </w:rPr>
      </w:pPr>
      <w:r>
        <w:rPr>
          <w:rFonts w:hint="eastAsia" w:hAnsi="宋体"/>
          <w:sz w:val="24"/>
          <w:lang w:eastAsia="zh-CN"/>
        </w:rPr>
        <w:t>《</w:t>
      </w:r>
      <w:r>
        <w:rPr>
          <w:rFonts w:hint="eastAsia" w:ascii="宋体" w:hAnsi="宋体"/>
          <w:sz w:val="24"/>
        </w:rPr>
        <w:t>机动车、驾驶员及违法管理等相关数据库规范</w:t>
      </w:r>
      <w:r>
        <w:rPr>
          <w:rFonts w:hint="eastAsia" w:hAnsi="宋体"/>
          <w:sz w:val="24"/>
          <w:lang w:eastAsia="zh-CN"/>
        </w:rPr>
        <w:t>》</w:t>
      </w:r>
      <w:r>
        <w:rPr>
          <w:rFonts w:hint="eastAsia" w:ascii="宋体" w:hAnsi="宋体"/>
          <w:sz w:val="24"/>
        </w:rPr>
        <w:t>2004版</w:t>
      </w:r>
    </w:p>
    <w:p>
      <w:pPr>
        <w:numPr>
          <w:ilvl w:val="0"/>
          <w:numId w:val="25"/>
        </w:numPr>
        <w:spacing w:line="360" w:lineRule="auto"/>
        <w:ind w:left="840" w:leftChars="0" w:hanging="420" w:firstLineChars="0"/>
        <w:rPr>
          <w:rFonts w:hint="eastAsia" w:ascii="宋体" w:hAnsi="宋体"/>
          <w:sz w:val="24"/>
        </w:rPr>
      </w:pPr>
      <w:r>
        <w:rPr>
          <w:rFonts w:hint="default" w:ascii="宋体" w:hAnsi="宋体"/>
          <w:sz w:val="24"/>
        </w:rPr>
        <w:t>《城市道路交通标志和标线设置规范》GB51038-2015</w:t>
      </w:r>
    </w:p>
    <w:p>
      <w:pPr>
        <w:numPr>
          <w:ilvl w:val="0"/>
          <w:numId w:val="25"/>
        </w:numPr>
        <w:spacing w:line="360" w:lineRule="auto"/>
        <w:ind w:left="840" w:leftChars="0" w:hanging="420" w:firstLineChars="0"/>
        <w:rPr>
          <w:rFonts w:hint="eastAsia" w:ascii="宋体" w:hAnsi="宋体"/>
          <w:sz w:val="24"/>
        </w:rPr>
      </w:pPr>
      <w:r>
        <w:rPr>
          <w:rFonts w:hint="eastAsia" w:ascii="宋体" w:hAnsi="宋体"/>
          <w:sz w:val="24"/>
        </w:rPr>
        <w:t>《城市道路交通工程项目规范》GB55011-2021</w:t>
      </w:r>
    </w:p>
    <w:p>
      <w:pPr>
        <w:numPr>
          <w:ilvl w:val="0"/>
          <w:numId w:val="25"/>
        </w:numPr>
        <w:spacing w:line="360" w:lineRule="auto"/>
        <w:ind w:left="840" w:leftChars="0" w:hanging="420" w:firstLineChars="0"/>
        <w:rPr>
          <w:rFonts w:hint="eastAsia" w:ascii="宋体" w:hAnsi="宋体"/>
          <w:sz w:val="24"/>
        </w:rPr>
      </w:pPr>
      <w:r>
        <w:rPr>
          <w:rFonts w:hint="eastAsia" w:hAnsi="宋体"/>
          <w:sz w:val="24"/>
          <w:lang w:eastAsia="zh-CN"/>
        </w:rPr>
        <w:t>《</w:t>
      </w:r>
      <w:r>
        <w:rPr>
          <w:rFonts w:hint="eastAsia" w:ascii="宋体" w:hAnsi="宋体"/>
          <w:sz w:val="24"/>
        </w:rPr>
        <w:t>城市道路交通组织设计规范</w:t>
      </w:r>
      <w:r>
        <w:rPr>
          <w:rFonts w:hint="eastAsia" w:hAnsi="宋体"/>
          <w:sz w:val="24"/>
          <w:lang w:eastAsia="zh-CN"/>
        </w:rPr>
        <w:t>》</w:t>
      </w:r>
      <w:r>
        <w:rPr>
          <w:rFonts w:hint="eastAsia" w:ascii="宋体" w:hAnsi="宋体"/>
          <w:sz w:val="24"/>
        </w:rPr>
        <w:t>GB/T 36670-2018</w:t>
      </w:r>
    </w:p>
    <w:p>
      <w:pPr>
        <w:numPr>
          <w:ilvl w:val="0"/>
          <w:numId w:val="25"/>
        </w:numPr>
        <w:spacing w:line="360" w:lineRule="auto"/>
        <w:ind w:left="840" w:leftChars="0" w:hanging="420" w:firstLineChars="0"/>
        <w:rPr>
          <w:rFonts w:hint="eastAsia" w:hAnsi="宋体"/>
          <w:sz w:val="24"/>
          <w:lang w:eastAsia="zh-CN"/>
        </w:rPr>
      </w:pPr>
      <w:r>
        <w:rPr>
          <w:rFonts w:hint="eastAsia" w:hAnsi="宋体"/>
          <w:sz w:val="24"/>
          <w:lang w:eastAsia="zh-CN"/>
        </w:rPr>
        <w:t>《建筑工程施工质量验收统一</w:t>
      </w:r>
      <w:r>
        <w:rPr>
          <w:rFonts w:hint="default" w:hAnsi="宋体"/>
          <w:sz w:val="24"/>
          <w:lang w:eastAsia="zh-CN"/>
        </w:rPr>
        <w:t>标准》(GB 50300</w:t>
      </w:r>
      <w:r>
        <w:rPr>
          <w:rFonts w:hint="eastAsia" w:hAnsi="宋体"/>
          <w:sz w:val="24"/>
          <w:lang w:val="en-US" w:eastAsia="zh-CN"/>
        </w:rPr>
        <w:t>-</w:t>
      </w:r>
      <w:r>
        <w:rPr>
          <w:rFonts w:hint="default" w:hAnsi="宋体"/>
          <w:sz w:val="24"/>
          <w:lang w:eastAsia="zh-CN"/>
        </w:rPr>
        <w:t>2013)</w:t>
      </w:r>
    </w:p>
    <w:p>
      <w:pPr>
        <w:numPr>
          <w:ilvl w:val="0"/>
          <w:numId w:val="25"/>
        </w:numPr>
        <w:spacing w:line="360" w:lineRule="auto"/>
        <w:ind w:left="840" w:leftChars="0" w:hanging="420" w:firstLineChars="0"/>
        <w:rPr>
          <w:rFonts w:hint="eastAsia" w:hAnsi="宋体"/>
          <w:sz w:val="24"/>
          <w:lang w:eastAsia="zh-CN"/>
        </w:rPr>
      </w:pPr>
      <w:r>
        <w:rPr>
          <w:rFonts w:hint="eastAsia" w:hAnsi="宋体"/>
          <w:sz w:val="24"/>
          <w:lang w:eastAsia="zh-CN"/>
        </w:rPr>
        <w:t>《建筑装饰装修工程质量验收标准》GB50210-2018</w:t>
      </w:r>
    </w:p>
    <w:p>
      <w:pPr>
        <w:numPr>
          <w:ilvl w:val="0"/>
          <w:numId w:val="25"/>
        </w:numPr>
        <w:spacing w:line="360" w:lineRule="auto"/>
        <w:ind w:left="840" w:leftChars="0" w:hanging="420" w:firstLineChars="0"/>
        <w:rPr>
          <w:rFonts w:hint="eastAsia" w:hAnsi="宋体"/>
          <w:sz w:val="24"/>
          <w:lang w:eastAsia="zh-CN"/>
        </w:rPr>
      </w:pPr>
      <w:r>
        <w:rPr>
          <w:rFonts w:ascii="宋体" w:hAnsi="宋体" w:eastAsia="宋体" w:cs="宋体"/>
          <w:kern w:val="0"/>
          <w:sz w:val="24"/>
          <w:szCs w:val="24"/>
          <w:lang w:val="en-US" w:eastAsia="zh-CN" w:bidi="ar-SA"/>
        </w:rPr>
        <w:t>《民用建筑工程室内环境污染控制规范》GB50325—20</w:t>
      </w:r>
      <w:r>
        <w:rPr>
          <w:rFonts w:hint="eastAsia" w:ascii="宋体" w:hAnsi="宋体" w:cs="宋体"/>
          <w:kern w:val="0"/>
          <w:sz w:val="24"/>
          <w:szCs w:val="24"/>
          <w:lang w:val="en-US" w:eastAsia="zh-CN" w:bidi="ar-SA"/>
        </w:rPr>
        <w:t>1</w:t>
      </w:r>
      <w:r>
        <w:rPr>
          <w:rFonts w:hint="eastAsia" w:hAnsi="宋体" w:cs="宋体"/>
          <w:kern w:val="0"/>
          <w:sz w:val="24"/>
          <w:szCs w:val="24"/>
          <w:lang w:val="en-US" w:eastAsia="zh-CN" w:bidi="ar-SA"/>
        </w:rPr>
        <w:t>3</w:t>
      </w:r>
    </w:p>
    <w:p>
      <w:pPr>
        <w:numPr>
          <w:ilvl w:val="0"/>
          <w:numId w:val="25"/>
        </w:numPr>
        <w:spacing w:line="360" w:lineRule="auto"/>
        <w:ind w:left="840" w:leftChars="0" w:hanging="420" w:firstLineChars="0"/>
        <w:rPr>
          <w:rFonts w:hint="eastAsia" w:hAnsi="宋体"/>
          <w:sz w:val="24"/>
          <w:lang w:eastAsia="zh-CN"/>
        </w:rPr>
      </w:pPr>
      <w:r>
        <w:rPr>
          <w:rFonts w:ascii="宋体" w:hAnsi="宋体" w:eastAsia="宋体" w:cs="宋体"/>
          <w:kern w:val="0"/>
          <w:sz w:val="24"/>
          <w:szCs w:val="24"/>
          <w:lang w:val="en-US" w:eastAsia="zh-CN" w:bidi="ar-SA"/>
        </w:rPr>
        <w:t>《木结构工程施工质量验收规范》GB50206-20</w:t>
      </w:r>
      <w:r>
        <w:rPr>
          <w:rFonts w:hint="eastAsia" w:ascii="宋体" w:hAnsi="宋体" w:cs="宋体"/>
          <w:kern w:val="0"/>
          <w:sz w:val="24"/>
          <w:szCs w:val="24"/>
          <w:lang w:val="en-US" w:eastAsia="zh-CN" w:bidi="ar-SA"/>
        </w:rPr>
        <w:t>1</w:t>
      </w:r>
      <w:r>
        <w:rPr>
          <w:rFonts w:ascii="宋体" w:hAnsi="宋体" w:eastAsia="宋体" w:cs="宋体"/>
          <w:kern w:val="0"/>
          <w:sz w:val="24"/>
          <w:szCs w:val="24"/>
          <w:lang w:val="en-US" w:eastAsia="zh-CN" w:bidi="ar-SA"/>
        </w:rPr>
        <w:t>2</w:t>
      </w:r>
    </w:p>
    <w:p>
      <w:pPr>
        <w:numPr>
          <w:ilvl w:val="0"/>
          <w:numId w:val="25"/>
        </w:numPr>
        <w:spacing w:line="360" w:lineRule="auto"/>
        <w:ind w:left="840" w:leftChars="0" w:hanging="420" w:firstLineChars="0"/>
        <w:rPr>
          <w:rFonts w:hint="eastAsia" w:hAnsi="宋体"/>
          <w:sz w:val="24"/>
          <w:lang w:eastAsia="zh-CN"/>
        </w:rPr>
      </w:pPr>
      <w:r>
        <w:rPr>
          <w:rFonts w:ascii="宋体" w:hAnsi="宋体" w:eastAsia="宋体" w:cs="宋体"/>
          <w:kern w:val="0"/>
          <w:sz w:val="24"/>
          <w:szCs w:val="24"/>
          <w:lang w:val="en-US" w:eastAsia="zh-CN" w:bidi="ar-SA"/>
        </w:rPr>
        <w:t>《建筑地面工程施工质量验收规范》GB50209-20</w:t>
      </w:r>
      <w:r>
        <w:rPr>
          <w:rFonts w:hint="eastAsia" w:ascii="宋体" w:hAnsi="宋体" w:cs="宋体"/>
          <w:kern w:val="0"/>
          <w:sz w:val="24"/>
          <w:szCs w:val="24"/>
          <w:lang w:val="en-US" w:eastAsia="zh-CN" w:bidi="ar-SA"/>
        </w:rPr>
        <w:t>10</w:t>
      </w:r>
    </w:p>
    <w:p>
      <w:pPr>
        <w:numPr>
          <w:ilvl w:val="0"/>
          <w:numId w:val="25"/>
        </w:numPr>
        <w:spacing w:line="360" w:lineRule="auto"/>
        <w:ind w:left="840" w:leftChars="0" w:hanging="420" w:firstLineChars="0"/>
        <w:rPr>
          <w:rFonts w:hint="eastAsia" w:hAnsi="宋体"/>
          <w:sz w:val="24"/>
          <w:lang w:eastAsia="zh-CN"/>
        </w:rPr>
      </w:pPr>
      <w:r>
        <w:rPr>
          <w:rFonts w:ascii="宋体" w:hAnsi="宋体" w:eastAsia="宋体" w:cs="宋体"/>
          <w:kern w:val="0"/>
          <w:sz w:val="24"/>
          <w:szCs w:val="24"/>
          <w:lang w:val="en-US" w:eastAsia="zh-CN" w:bidi="ar-SA"/>
        </w:rPr>
        <w:t>《建设工程项目管理规范》GB／T50326-200</w:t>
      </w:r>
      <w:r>
        <w:rPr>
          <w:rFonts w:hint="eastAsia" w:ascii="宋体" w:hAnsi="宋体" w:cs="宋体"/>
          <w:kern w:val="0"/>
          <w:sz w:val="24"/>
          <w:szCs w:val="24"/>
          <w:lang w:val="en-US" w:eastAsia="zh-CN" w:bidi="ar-SA"/>
        </w:rPr>
        <w:t>6</w:t>
      </w:r>
    </w:p>
    <w:p>
      <w:pPr>
        <w:pStyle w:val="4"/>
        <w:numPr>
          <w:ilvl w:val="1"/>
          <w:numId w:val="24"/>
        </w:numPr>
        <w:tabs>
          <w:tab w:val="left" w:pos="900"/>
          <w:tab w:val="clear" w:pos="1271"/>
        </w:tabs>
        <w:ind w:left="900" w:hanging="720"/>
        <w:rPr>
          <w:rFonts w:hint="eastAsia" w:ascii="宋体" w:hAnsi="宋体"/>
          <w:sz w:val="28"/>
          <w:szCs w:val="28"/>
        </w:rPr>
      </w:pPr>
      <w:bookmarkStart w:id="110" w:name="_Toc23933"/>
      <w:bookmarkStart w:id="111" w:name="_Toc29808"/>
      <w:bookmarkStart w:id="112" w:name="_Toc1881"/>
      <w:bookmarkStart w:id="113" w:name="_Toc24927"/>
      <w:bookmarkStart w:id="114" w:name="_Toc3912"/>
      <w:r>
        <w:rPr>
          <w:bCs w:val="0"/>
          <w:sz w:val="24"/>
          <w:szCs w:val="24"/>
        </w:rPr>
        <w:t>深化</w:t>
      </w:r>
      <w:r>
        <w:rPr>
          <w:rFonts w:hint="eastAsia"/>
          <w:bCs w:val="0"/>
          <w:sz w:val="24"/>
          <w:szCs w:val="24"/>
        </w:rPr>
        <w:t>优化</w:t>
      </w:r>
      <w:r>
        <w:rPr>
          <w:bCs w:val="0"/>
          <w:sz w:val="24"/>
          <w:szCs w:val="24"/>
        </w:rPr>
        <w:t>设计</w:t>
      </w:r>
      <w:bookmarkEnd w:id="110"/>
      <w:bookmarkEnd w:id="111"/>
      <w:bookmarkEnd w:id="112"/>
      <w:bookmarkEnd w:id="113"/>
      <w:bookmarkEnd w:id="114"/>
    </w:p>
    <w:p>
      <w:pPr>
        <w:tabs>
          <w:tab w:val="left" w:pos="5516"/>
        </w:tabs>
        <w:spacing w:line="360" w:lineRule="auto"/>
        <w:ind w:firstLine="480"/>
        <w:rPr>
          <w:rFonts w:ascii="宋体" w:hAnsi="宋体" w:cs="Arial"/>
          <w:color w:val="000000"/>
          <w:sz w:val="24"/>
        </w:rPr>
      </w:pPr>
      <w:r>
        <w:rPr>
          <w:rFonts w:ascii="宋体" w:hAnsi="宋体" w:cs="Arial"/>
          <w:color w:val="000000"/>
          <w:sz w:val="24"/>
        </w:rPr>
        <w:t>开始进行系统深化设计前，先与甲方进行充分的交流沟通，进一步明确各个子系统的功能目标、实施方法及实际使用要求。同时进行现场实地查看，认真了解土建、安装方面的设计及施工的详细情况，本着科学、先进、成熟、可靠、适用、经济的原则，对管路安排及设备安装位置等做出准确的综合考虑。同时严格依据相关设计要求及标准，按设计流程进行深化设计，给出相关的深化设计施工图。深化设计编制完成后，需要对图纸的设计及施工进行会审和交底。</w:t>
      </w:r>
    </w:p>
    <w:p>
      <w:pPr>
        <w:tabs>
          <w:tab w:val="left" w:pos="5516"/>
        </w:tabs>
        <w:spacing w:line="360" w:lineRule="auto"/>
        <w:ind w:firstLine="480"/>
        <w:rPr>
          <w:rFonts w:hint="eastAsia" w:ascii="宋体" w:hAnsi="宋体" w:cs="Arial"/>
          <w:color w:val="000000"/>
          <w:sz w:val="24"/>
        </w:rPr>
      </w:pPr>
      <w:r>
        <w:rPr>
          <w:rFonts w:ascii="宋体" w:hAnsi="宋体" w:cs="Arial"/>
          <w:color w:val="000000"/>
          <w:sz w:val="24"/>
        </w:rPr>
        <w:t>本工程工期很紧，</w:t>
      </w:r>
      <w:r>
        <w:rPr>
          <w:rFonts w:hint="eastAsia" w:ascii="宋体" w:hAnsi="宋体" w:cs="Arial"/>
          <w:color w:val="000000"/>
          <w:sz w:val="24"/>
        </w:rPr>
        <w:t>弱电</w:t>
      </w:r>
      <w:r>
        <w:rPr>
          <w:rFonts w:ascii="宋体" w:hAnsi="宋体" w:cs="Arial"/>
          <w:color w:val="000000"/>
          <w:sz w:val="24"/>
        </w:rPr>
        <w:t>系统施工单位急需进场施工，深化设计图纸必不可缺，认真执行施工流程和施工规范不能马虎。我们郑重承诺：在中标书签发后</w:t>
      </w:r>
      <w:r>
        <w:rPr>
          <w:rFonts w:hint="eastAsia" w:hAnsi="宋体" w:cs="Arial"/>
          <w:color w:val="000000"/>
          <w:sz w:val="24"/>
          <w:lang w:val="en-US" w:eastAsia="zh-CN"/>
        </w:rPr>
        <w:t>10</w:t>
      </w:r>
      <w:r>
        <w:rPr>
          <w:rFonts w:ascii="宋体" w:hAnsi="宋体" w:cs="Arial"/>
          <w:color w:val="000000"/>
          <w:sz w:val="24"/>
        </w:rPr>
        <w:t>日内提交系统深化图纸，同时坚决按照审批通过的施工设计图纸进行施工。</w:t>
      </w:r>
    </w:p>
    <w:p>
      <w:pPr>
        <w:pStyle w:val="4"/>
        <w:numPr>
          <w:ilvl w:val="1"/>
          <w:numId w:val="24"/>
        </w:numPr>
        <w:tabs>
          <w:tab w:val="left" w:pos="900"/>
          <w:tab w:val="clear" w:pos="1271"/>
        </w:tabs>
        <w:ind w:left="900" w:hanging="720"/>
        <w:rPr>
          <w:rFonts w:hint="eastAsia" w:ascii="宋体" w:hAnsi="宋体"/>
          <w:sz w:val="28"/>
          <w:szCs w:val="28"/>
        </w:rPr>
      </w:pPr>
      <w:bookmarkStart w:id="115" w:name="_Toc12327"/>
      <w:bookmarkStart w:id="116" w:name="_Toc6154"/>
      <w:bookmarkStart w:id="117" w:name="_Toc12631"/>
      <w:bookmarkStart w:id="118" w:name="_Toc29697"/>
      <w:bookmarkStart w:id="119" w:name="_Toc21960"/>
      <w:r>
        <w:rPr>
          <w:rFonts w:cs="Arial"/>
          <w:bCs w:val="0"/>
          <w:color w:val="000000"/>
          <w:sz w:val="24"/>
          <w:szCs w:val="24"/>
        </w:rPr>
        <w:t>图纸会审</w:t>
      </w:r>
      <w:bookmarkEnd w:id="115"/>
      <w:bookmarkEnd w:id="116"/>
      <w:bookmarkEnd w:id="117"/>
      <w:bookmarkEnd w:id="118"/>
      <w:bookmarkEnd w:id="119"/>
    </w:p>
    <w:p>
      <w:pPr>
        <w:spacing w:line="360" w:lineRule="auto"/>
        <w:ind w:firstLine="480"/>
        <w:rPr>
          <w:rFonts w:hint="eastAsia" w:ascii="宋体" w:hAnsi="宋体" w:cs="Arial"/>
          <w:color w:val="000000"/>
          <w:sz w:val="24"/>
        </w:rPr>
      </w:pPr>
      <w:r>
        <w:rPr>
          <w:rFonts w:ascii="宋体" w:hAnsi="宋体" w:cs="Arial"/>
          <w:color w:val="000000"/>
          <w:sz w:val="24"/>
        </w:rPr>
        <w:t>深化设计送至甲方后，可进行图纸会审。图纸会审应请甲方组织，请甲方、监理公司参加，针对图纸及施工上的问题进行审核，对提出的问题进行探讨，找出最合理、准确的方案后，对图纸进行修改。保证施工需要。</w:t>
      </w:r>
    </w:p>
    <w:p>
      <w:pPr>
        <w:pStyle w:val="4"/>
        <w:numPr>
          <w:ilvl w:val="1"/>
          <w:numId w:val="24"/>
        </w:numPr>
        <w:tabs>
          <w:tab w:val="left" w:pos="900"/>
          <w:tab w:val="clear" w:pos="1271"/>
        </w:tabs>
        <w:ind w:left="900" w:hanging="720"/>
        <w:rPr>
          <w:rFonts w:hint="eastAsia" w:ascii="宋体" w:hAnsi="宋体"/>
          <w:sz w:val="28"/>
          <w:szCs w:val="28"/>
        </w:rPr>
      </w:pPr>
      <w:bookmarkStart w:id="120" w:name="_Toc16344"/>
      <w:bookmarkStart w:id="121" w:name="_Toc8230"/>
      <w:bookmarkStart w:id="122" w:name="_Toc20096"/>
      <w:bookmarkStart w:id="123" w:name="_Toc3206"/>
      <w:bookmarkStart w:id="124" w:name="_Toc7017"/>
      <w:r>
        <w:rPr>
          <w:rFonts w:cs="Arial"/>
          <w:bCs w:val="0"/>
          <w:color w:val="000000"/>
          <w:sz w:val="24"/>
          <w:szCs w:val="24"/>
        </w:rPr>
        <w:t>技术交底</w:t>
      </w:r>
      <w:bookmarkEnd w:id="120"/>
      <w:bookmarkEnd w:id="121"/>
      <w:bookmarkEnd w:id="122"/>
      <w:bookmarkEnd w:id="123"/>
      <w:bookmarkEnd w:id="124"/>
    </w:p>
    <w:p>
      <w:pPr>
        <w:pStyle w:val="12"/>
        <w:spacing w:line="360" w:lineRule="auto"/>
        <w:ind w:left="0" w:leftChars="0" w:firstLine="480" w:firstLineChars="200"/>
        <w:rPr>
          <w:rFonts w:hint="eastAsia" w:ascii="宋体" w:hAnsi="宋体" w:cs="Arial"/>
          <w:sz w:val="24"/>
        </w:rPr>
      </w:pPr>
      <w:r>
        <w:rPr>
          <w:rFonts w:ascii="宋体" w:hAnsi="宋体" w:cs="Arial"/>
          <w:sz w:val="24"/>
        </w:rPr>
        <w:t>为了帮助施工人员明确所承担施工任务的特点、技术质量要求、系统的划分、施工工艺、施工要点和注意事项，必须由各系统专业工程师逐级进行交底。主要内容应包括：设计要求、图纸交底、细部作法和施工组织设计中的有关要求，施工机具设备的性能参数、施工条件、施工顺序，施工方法，施工中采用的新技术、新工艺、新设备的性能和操作使用方法，相关工程质量标准，成品保护和验收标准及施工中的安全注意事项。</w:t>
      </w:r>
    </w:p>
    <w:p>
      <w:pPr>
        <w:pStyle w:val="4"/>
        <w:numPr>
          <w:ilvl w:val="1"/>
          <w:numId w:val="24"/>
        </w:numPr>
        <w:tabs>
          <w:tab w:val="left" w:pos="900"/>
          <w:tab w:val="clear" w:pos="1271"/>
        </w:tabs>
        <w:ind w:left="900" w:hanging="720"/>
        <w:rPr>
          <w:rFonts w:hint="eastAsia" w:ascii="宋体" w:hAnsi="宋体"/>
          <w:sz w:val="28"/>
          <w:szCs w:val="28"/>
        </w:rPr>
      </w:pPr>
      <w:bookmarkStart w:id="125" w:name="_Toc17037"/>
      <w:bookmarkStart w:id="126" w:name="_Toc29584"/>
      <w:bookmarkStart w:id="127" w:name="_Toc7287"/>
      <w:bookmarkStart w:id="128" w:name="_Toc639"/>
      <w:bookmarkStart w:id="129" w:name="_Toc15136"/>
      <w:r>
        <w:rPr>
          <w:rFonts w:cs="Arial"/>
          <w:bCs w:val="0"/>
          <w:color w:val="000000"/>
          <w:sz w:val="24"/>
          <w:szCs w:val="24"/>
        </w:rPr>
        <w:t>编制施工预算</w:t>
      </w:r>
      <w:bookmarkEnd w:id="125"/>
      <w:bookmarkEnd w:id="126"/>
      <w:bookmarkEnd w:id="127"/>
      <w:bookmarkEnd w:id="128"/>
      <w:bookmarkEnd w:id="129"/>
    </w:p>
    <w:p>
      <w:pPr>
        <w:spacing w:line="360" w:lineRule="auto"/>
        <w:ind w:firstLine="585"/>
        <w:rPr>
          <w:rFonts w:hint="eastAsia" w:ascii="宋体" w:hAnsi="宋体" w:cs="Arial"/>
          <w:color w:val="000000"/>
          <w:sz w:val="24"/>
        </w:rPr>
      </w:pPr>
      <w:r>
        <w:rPr>
          <w:rFonts w:ascii="宋体" w:hAnsi="宋体" w:cs="Arial"/>
          <w:color w:val="000000"/>
          <w:sz w:val="24"/>
        </w:rPr>
        <w:t>施工预算是项目的计划目标投资成本，成本控制是《项目管理目标责任书》中的责任目标。施工预算必须根据施工图和定额进行编制。施工前编制整个工程的施工预算，报</w:t>
      </w:r>
      <w:r>
        <w:rPr>
          <w:rFonts w:hint="eastAsia" w:ascii="宋体" w:hAnsi="宋体" w:cs="Arial"/>
          <w:color w:val="000000"/>
          <w:sz w:val="24"/>
        </w:rPr>
        <w:t>总包</w:t>
      </w:r>
      <w:r>
        <w:rPr>
          <w:rFonts w:ascii="宋体" w:hAnsi="宋体" w:cs="Arial"/>
          <w:color w:val="000000"/>
          <w:sz w:val="24"/>
        </w:rPr>
        <w:t>方、监理审核批准。施工中严格执行此预算报价。</w:t>
      </w:r>
    </w:p>
    <w:p>
      <w:pPr>
        <w:pStyle w:val="4"/>
        <w:numPr>
          <w:ilvl w:val="1"/>
          <w:numId w:val="24"/>
        </w:numPr>
        <w:tabs>
          <w:tab w:val="left" w:pos="900"/>
          <w:tab w:val="clear" w:pos="1271"/>
        </w:tabs>
        <w:ind w:left="900" w:hanging="720"/>
        <w:rPr>
          <w:rFonts w:hint="eastAsia" w:ascii="宋体" w:hAnsi="宋体"/>
          <w:sz w:val="28"/>
          <w:szCs w:val="28"/>
        </w:rPr>
      </w:pPr>
      <w:bookmarkStart w:id="130" w:name="_Toc12100"/>
      <w:bookmarkStart w:id="131" w:name="_Toc32409"/>
      <w:bookmarkStart w:id="132" w:name="_Toc32246"/>
      <w:bookmarkStart w:id="133" w:name="_Toc16361"/>
      <w:bookmarkStart w:id="134" w:name="_Toc2825"/>
      <w:r>
        <w:rPr>
          <w:rFonts w:cs="Arial"/>
          <w:bCs w:val="0"/>
          <w:color w:val="000000"/>
          <w:sz w:val="24"/>
          <w:szCs w:val="24"/>
        </w:rPr>
        <w:t>施工现场准备</w:t>
      </w:r>
      <w:bookmarkEnd w:id="130"/>
      <w:bookmarkEnd w:id="131"/>
      <w:bookmarkEnd w:id="132"/>
      <w:bookmarkEnd w:id="133"/>
      <w:bookmarkEnd w:id="134"/>
    </w:p>
    <w:p>
      <w:pPr>
        <w:spacing w:line="360" w:lineRule="auto"/>
        <w:ind w:firstLine="480"/>
        <w:rPr>
          <w:rFonts w:ascii="宋体" w:hAnsi="宋体" w:cs="Arial"/>
          <w:color w:val="000000"/>
          <w:sz w:val="24"/>
        </w:rPr>
      </w:pPr>
      <w:r>
        <w:rPr>
          <w:rFonts w:ascii="宋体" w:hAnsi="宋体" w:cs="Arial"/>
          <w:color w:val="000000"/>
          <w:sz w:val="24"/>
        </w:rPr>
        <w:t>首先熟悉施工现场的环境，了解工程施工情况，熟悉施工设计图纸，编制详细的工程实施总体方案，方案中应有：</w:t>
      </w:r>
    </w:p>
    <w:p>
      <w:pPr>
        <w:numPr>
          <w:ilvl w:val="0"/>
          <w:numId w:val="26"/>
        </w:numPr>
        <w:spacing w:line="360" w:lineRule="auto"/>
        <w:ind w:leftChars="200" w:hanging="480" w:hangingChars="200"/>
        <w:rPr>
          <w:rFonts w:ascii="宋体" w:hAnsi="宋体" w:cs="Arial"/>
          <w:color w:val="000000"/>
          <w:sz w:val="24"/>
        </w:rPr>
      </w:pPr>
      <w:r>
        <w:rPr>
          <w:rFonts w:ascii="宋体" w:hAnsi="宋体" w:cs="Arial"/>
          <w:color w:val="000000"/>
          <w:sz w:val="24"/>
        </w:rPr>
        <w:t>各分系统相应的施工进度计划，合理安排施工流程。</w:t>
      </w:r>
    </w:p>
    <w:p>
      <w:pPr>
        <w:numPr>
          <w:ilvl w:val="0"/>
          <w:numId w:val="26"/>
        </w:numPr>
        <w:spacing w:line="360" w:lineRule="auto"/>
        <w:ind w:leftChars="200" w:hanging="480" w:hangingChars="200"/>
        <w:rPr>
          <w:rFonts w:ascii="宋体" w:hAnsi="宋体" w:cs="Arial"/>
          <w:color w:val="000000"/>
          <w:sz w:val="24"/>
        </w:rPr>
      </w:pPr>
      <w:r>
        <w:rPr>
          <w:rFonts w:ascii="宋体" w:hAnsi="宋体" w:cs="Arial"/>
          <w:color w:val="000000"/>
          <w:sz w:val="24"/>
        </w:rPr>
        <w:t>工程劳动力需要量计划。</w:t>
      </w:r>
    </w:p>
    <w:p>
      <w:pPr>
        <w:numPr>
          <w:ilvl w:val="0"/>
          <w:numId w:val="26"/>
        </w:numPr>
        <w:spacing w:line="360" w:lineRule="auto"/>
        <w:ind w:leftChars="200" w:hanging="480" w:hangingChars="200"/>
        <w:rPr>
          <w:rFonts w:ascii="宋体" w:hAnsi="宋体" w:cs="Arial"/>
          <w:color w:val="000000"/>
          <w:sz w:val="24"/>
        </w:rPr>
      </w:pPr>
      <w:r>
        <w:rPr>
          <w:rFonts w:ascii="宋体" w:hAnsi="宋体" w:cs="Arial"/>
          <w:color w:val="000000"/>
          <w:sz w:val="24"/>
        </w:rPr>
        <w:t>制定质量目标实施措施，确定关键工序及特殊过程，编制相应的施工方案。</w:t>
      </w:r>
    </w:p>
    <w:p>
      <w:pPr>
        <w:numPr>
          <w:ilvl w:val="0"/>
          <w:numId w:val="26"/>
        </w:numPr>
        <w:spacing w:line="360" w:lineRule="auto"/>
        <w:ind w:leftChars="200" w:hanging="480" w:hangingChars="200"/>
        <w:rPr>
          <w:rFonts w:ascii="宋体" w:hAnsi="宋体" w:cs="Arial"/>
          <w:color w:val="000000"/>
          <w:sz w:val="24"/>
        </w:rPr>
      </w:pPr>
      <w:r>
        <w:rPr>
          <w:rFonts w:ascii="宋体" w:hAnsi="宋体" w:cs="Arial"/>
          <w:color w:val="000000"/>
          <w:sz w:val="24"/>
        </w:rPr>
        <w:t>对工程所需的主要设备根据工期安排编制进出场计划。</w:t>
      </w:r>
    </w:p>
    <w:p>
      <w:pPr>
        <w:numPr>
          <w:ilvl w:val="0"/>
          <w:numId w:val="26"/>
        </w:numPr>
        <w:spacing w:line="360" w:lineRule="auto"/>
        <w:ind w:leftChars="200" w:hanging="480" w:hangingChars="200"/>
        <w:rPr>
          <w:rFonts w:hint="eastAsia" w:ascii="宋体" w:hAnsi="宋体" w:cs="Arial"/>
          <w:color w:val="000000"/>
          <w:sz w:val="24"/>
        </w:rPr>
      </w:pPr>
      <w:r>
        <w:rPr>
          <w:rFonts w:ascii="宋体" w:hAnsi="宋体" w:cs="Arial"/>
          <w:color w:val="000000"/>
          <w:sz w:val="24"/>
        </w:rPr>
        <w:t>向职能管理部门办理相关的开工报批手续。</w:t>
      </w:r>
    </w:p>
    <w:p>
      <w:pPr>
        <w:pStyle w:val="3"/>
        <w:numPr>
          <w:ilvl w:val="1"/>
          <w:numId w:val="2"/>
        </w:numPr>
        <w:rPr>
          <w:rFonts w:hint="eastAsia" w:ascii="宋体" w:hAnsi="宋体" w:eastAsia="宋体"/>
        </w:rPr>
      </w:pPr>
      <w:bookmarkStart w:id="135" w:name="_Toc21520"/>
      <w:bookmarkStart w:id="136" w:name="_Toc25701"/>
      <w:bookmarkStart w:id="137" w:name="_Toc12052"/>
      <w:bookmarkStart w:id="138" w:name="_Toc17369"/>
      <w:bookmarkStart w:id="139" w:name="_Toc21615"/>
      <w:r>
        <w:rPr>
          <w:rFonts w:ascii="宋体" w:hAnsi="宋体" w:eastAsia="宋体" w:cs="Arial"/>
          <w:bCs w:val="0"/>
          <w:color w:val="000000"/>
        </w:rPr>
        <w:t>施工进度控制计划和资源计划</w:t>
      </w:r>
      <w:bookmarkEnd w:id="135"/>
      <w:bookmarkEnd w:id="136"/>
      <w:bookmarkEnd w:id="137"/>
      <w:bookmarkEnd w:id="138"/>
      <w:bookmarkEnd w:id="139"/>
    </w:p>
    <w:p>
      <w:pPr>
        <w:pStyle w:val="4"/>
        <w:numPr>
          <w:ilvl w:val="0"/>
          <w:numId w:val="27"/>
        </w:numPr>
        <w:rPr>
          <w:rFonts w:hint="eastAsia" w:ascii="宋体" w:hAnsi="宋体"/>
          <w:sz w:val="28"/>
          <w:szCs w:val="28"/>
        </w:rPr>
      </w:pPr>
      <w:bookmarkStart w:id="140" w:name="_Toc12484"/>
      <w:bookmarkStart w:id="141" w:name="_Toc10274"/>
      <w:bookmarkStart w:id="142" w:name="_Toc5707"/>
      <w:bookmarkStart w:id="143" w:name="_Toc28727"/>
      <w:bookmarkStart w:id="144" w:name="_Toc9632"/>
      <w:r>
        <w:rPr>
          <w:rFonts w:hint="eastAsia" w:ascii="宋体" w:hAnsi="宋体" w:cs="Arial"/>
          <w:bCs w:val="0"/>
          <w:color w:val="000000"/>
          <w:sz w:val="28"/>
          <w:szCs w:val="28"/>
        </w:rPr>
        <w:t>施工进度计划</w:t>
      </w:r>
      <w:bookmarkEnd w:id="140"/>
      <w:bookmarkEnd w:id="141"/>
      <w:bookmarkEnd w:id="142"/>
      <w:bookmarkEnd w:id="143"/>
      <w:bookmarkEnd w:id="144"/>
    </w:p>
    <w:p>
      <w:pPr>
        <w:spacing w:line="360" w:lineRule="auto"/>
        <w:ind w:firstLine="480"/>
        <w:rPr>
          <w:rFonts w:hint="eastAsia" w:ascii="宋体" w:hAnsi="宋体" w:cs="Arial"/>
          <w:color w:val="000000"/>
          <w:sz w:val="24"/>
        </w:rPr>
      </w:pPr>
      <w:r>
        <w:rPr>
          <w:rFonts w:hint="eastAsia" w:ascii="宋体" w:hAnsi="宋体" w:cs="Arial"/>
          <w:sz w:val="24"/>
        </w:rPr>
        <w:t>周至县公安局交警大队道路交通安全隐患治理</w:t>
      </w:r>
      <w:r>
        <w:rPr>
          <w:rFonts w:ascii="宋体" w:hAnsi="宋体" w:cs="Arial"/>
          <w:color w:val="000000"/>
          <w:sz w:val="24"/>
        </w:rPr>
        <w:t>工程实施进度计划，在与</w:t>
      </w:r>
      <w:r>
        <w:rPr>
          <w:rFonts w:hint="eastAsia" w:ascii="宋体" w:hAnsi="宋体" w:cs="Arial"/>
          <w:sz w:val="24"/>
        </w:rPr>
        <w:t>周至县公安局交警大队</w:t>
      </w:r>
      <w:r>
        <w:rPr>
          <w:rFonts w:ascii="宋体" w:hAnsi="宋体" w:cs="Arial"/>
          <w:color w:val="000000"/>
          <w:sz w:val="24"/>
        </w:rPr>
        <w:t>协商进度计划后，制定详细“施工进度计划表”，根据工程总进度计划实时编制详细的各子系统进度计划。执行中严格检查考评。当发现计划拖后时，必须及时查找原因，采取及时补救措施。</w:t>
      </w:r>
    </w:p>
    <w:p>
      <w:pPr>
        <w:spacing w:line="360" w:lineRule="auto"/>
        <w:ind w:firstLine="144" w:firstLineChars="60"/>
        <w:rPr>
          <w:rFonts w:hint="eastAsia" w:ascii="宋体" w:hAnsi="宋体"/>
          <w:bCs/>
          <w:color w:val="000000"/>
          <w:sz w:val="24"/>
        </w:rPr>
      </w:pPr>
      <w:r>
        <w:rPr>
          <w:rFonts w:hint="eastAsia" w:ascii="宋体" w:hAnsi="宋体"/>
          <w:bCs/>
          <w:color w:val="000000"/>
          <w:sz w:val="24"/>
        </w:rPr>
        <w:t>1、前期准备</w:t>
      </w:r>
    </w:p>
    <w:p>
      <w:pPr>
        <w:spacing w:line="360" w:lineRule="auto"/>
        <w:ind w:firstLine="544" w:firstLineChars="227"/>
        <w:rPr>
          <w:rFonts w:hint="eastAsia" w:ascii="宋体" w:hAnsi="宋体"/>
          <w:color w:val="000000"/>
          <w:sz w:val="24"/>
        </w:rPr>
      </w:pPr>
      <w:r>
        <w:rPr>
          <w:rFonts w:hint="eastAsia" w:ascii="宋体" w:hAnsi="宋体"/>
          <w:color w:val="000000"/>
          <w:sz w:val="24"/>
        </w:rPr>
        <w:t>在进入现场前5日内由项目经理部组织技术及施工人员认真审阅图纸和必要的设计，由技术员提出材料采购计划及现场施工人员安排计划，经总工程师和项目经理审核批准后实施。</w:t>
      </w:r>
    </w:p>
    <w:p>
      <w:pPr>
        <w:spacing w:line="360" w:lineRule="auto"/>
        <w:ind w:firstLine="153" w:firstLineChars="64"/>
        <w:rPr>
          <w:rFonts w:hint="eastAsia" w:ascii="宋体" w:hAnsi="宋体"/>
          <w:bCs/>
          <w:color w:val="000000"/>
          <w:sz w:val="24"/>
        </w:rPr>
      </w:pPr>
      <w:r>
        <w:rPr>
          <w:rFonts w:hint="eastAsia" w:ascii="宋体" w:hAnsi="宋体"/>
          <w:bCs/>
          <w:color w:val="000000"/>
          <w:sz w:val="24"/>
        </w:rPr>
        <w:t>2、设计周期</w:t>
      </w:r>
    </w:p>
    <w:p>
      <w:pPr>
        <w:spacing w:line="360" w:lineRule="auto"/>
        <w:ind w:firstLine="480" w:firstLineChars="200"/>
        <w:rPr>
          <w:rFonts w:hint="eastAsia" w:ascii="宋体" w:hAnsi="宋体"/>
          <w:color w:val="000000"/>
          <w:sz w:val="24"/>
        </w:rPr>
      </w:pPr>
      <w:r>
        <w:rPr>
          <w:rFonts w:hint="eastAsia" w:ascii="宋体" w:hAnsi="宋体"/>
          <w:color w:val="000000"/>
          <w:sz w:val="24"/>
        </w:rPr>
        <w:t>项目经理部在3日内根据甲方要求</w:t>
      </w:r>
      <w:r>
        <w:rPr>
          <w:rFonts w:hint="eastAsia" w:hAnsi="宋体"/>
          <w:color w:val="000000"/>
          <w:sz w:val="24"/>
          <w:lang w:eastAsia="zh-CN"/>
        </w:rPr>
        <w:t>、</w:t>
      </w:r>
      <w:r>
        <w:rPr>
          <w:rFonts w:hint="eastAsia" w:hAnsi="宋体"/>
          <w:color w:val="000000"/>
          <w:sz w:val="24"/>
          <w:lang w:val="en-US" w:eastAsia="zh-CN"/>
        </w:rPr>
        <w:t>施工</w:t>
      </w:r>
      <w:r>
        <w:rPr>
          <w:rFonts w:hint="eastAsia" w:ascii="宋体" w:hAnsi="宋体"/>
          <w:color w:val="000000"/>
          <w:sz w:val="24"/>
        </w:rPr>
        <w:t>图纸及现场等情况，提出二次</w:t>
      </w:r>
      <w:r>
        <w:rPr>
          <w:rFonts w:hint="eastAsia" w:hAnsi="宋体"/>
          <w:color w:val="000000"/>
          <w:sz w:val="24"/>
          <w:lang w:val="en-US" w:eastAsia="zh-CN"/>
        </w:rPr>
        <w:t>深化</w:t>
      </w:r>
      <w:r>
        <w:rPr>
          <w:rFonts w:hint="eastAsia" w:ascii="宋体" w:hAnsi="宋体"/>
          <w:color w:val="000000"/>
          <w:sz w:val="24"/>
        </w:rPr>
        <w:t>设</w:t>
      </w:r>
      <w:r>
        <w:rPr>
          <w:rFonts w:hint="eastAsia" w:hAnsi="宋体"/>
          <w:color w:val="000000"/>
          <w:sz w:val="24"/>
          <w:lang w:val="en-US" w:eastAsia="zh-CN"/>
        </w:rPr>
        <w:t>经</w:t>
      </w:r>
      <w:r>
        <w:rPr>
          <w:rFonts w:hint="eastAsia" w:ascii="宋体" w:hAnsi="宋体"/>
          <w:color w:val="000000"/>
          <w:sz w:val="24"/>
        </w:rPr>
        <w:t>甲方</w:t>
      </w:r>
      <w:r>
        <w:rPr>
          <w:rFonts w:hint="eastAsia" w:hAnsi="宋体"/>
          <w:color w:val="000000"/>
          <w:sz w:val="24"/>
          <w:lang w:val="en-US" w:eastAsia="zh-CN"/>
        </w:rPr>
        <w:t>同意后10日内完成</w:t>
      </w:r>
      <w:r>
        <w:rPr>
          <w:rFonts w:hint="eastAsia" w:ascii="宋体" w:hAnsi="宋体"/>
          <w:color w:val="000000"/>
          <w:sz w:val="24"/>
        </w:rPr>
        <w:t>二次</w:t>
      </w:r>
      <w:r>
        <w:rPr>
          <w:rFonts w:hint="eastAsia" w:hAnsi="宋体"/>
          <w:color w:val="000000"/>
          <w:sz w:val="24"/>
          <w:lang w:val="en-US" w:eastAsia="zh-CN"/>
        </w:rPr>
        <w:t>深化</w:t>
      </w:r>
      <w:r>
        <w:rPr>
          <w:rFonts w:hint="eastAsia" w:ascii="宋体" w:hAnsi="宋体"/>
          <w:color w:val="000000"/>
          <w:sz w:val="24"/>
        </w:rPr>
        <w:t>设</w:t>
      </w:r>
      <w:r>
        <w:rPr>
          <w:rFonts w:hint="eastAsia" w:hAnsi="宋体"/>
          <w:color w:val="000000"/>
          <w:sz w:val="24"/>
          <w:lang w:val="en-US" w:eastAsia="zh-CN"/>
        </w:rPr>
        <w:t>施工图纸</w:t>
      </w:r>
      <w:r>
        <w:rPr>
          <w:rFonts w:hint="eastAsia" w:ascii="宋体" w:hAnsi="宋体"/>
          <w:color w:val="000000"/>
          <w:sz w:val="24"/>
        </w:rPr>
        <w:t>。</w:t>
      </w:r>
    </w:p>
    <w:p>
      <w:pPr>
        <w:spacing w:line="360" w:lineRule="auto"/>
        <w:rPr>
          <w:rFonts w:hint="eastAsia" w:ascii="宋体" w:hAnsi="宋体"/>
          <w:bCs/>
          <w:color w:val="000000"/>
          <w:sz w:val="24"/>
        </w:rPr>
      </w:pPr>
      <w:r>
        <w:rPr>
          <w:rFonts w:hint="eastAsia" w:ascii="宋体" w:hAnsi="宋体"/>
          <w:bCs/>
          <w:color w:val="000000"/>
          <w:sz w:val="24"/>
        </w:rPr>
        <w:t>3、采购周期、产品进场周期</w:t>
      </w:r>
    </w:p>
    <w:p>
      <w:pPr>
        <w:spacing w:line="360" w:lineRule="auto"/>
        <w:ind w:firstLine="480" w:firstLineChars="200"/>
        <w:rPr>
          <w:rFonts w:hint="eastAsia" w:ascii="宋体" w:hAnsi="宋体"/>
          <w:color w:val="000000"/>
          <w:sz w:val="24"/>
        </w:rPr>
      </w:pPr>
      <w:r>
        <w:rPr>
          <w:rFonts w:hint="eastAsia" w:ascii="宋体" w:hAnsi="宋体"/>
          <w:color w:val="000000"/>
          <w:sz w:val="24"/>
        </w:rPr>
        <w:t>项目经理部根据进度计划和工程技术人员以及施工工长的要求，提前十日下达材料采购计划，材料员在5日内采购齐全，在五日内保证产品运送到施工现场。</w:t>
      </w:r>
    </w:p>
    <w:p>
      <w:pPr>
        <w:spacing w:line="360" w:lineRule="auto"/>
        <w:rPr>
          <w:rFonts w:hint="eastAsia" w:ascii="宋体" w:hAnsi="宋体"/>
          <w:bCs/>
          <w:color w:val="000000"/>
          <w:sz w:val="24"/>
        </w:rPr>
      </w:pPr>
      <w:r>
        <w:rPr>
          <w:rFonts w:hint="eastAsia" w:ascii="宋体" w:hAnsi="宋体"/>
          <w:bCs/>
          <w:color w:val="000000"/>
          <w:sz w:val="24"/>
        </w:rPr>
        <w:t>4、进场施工周期</w:t>
      </w:r>
    </w:p>
    <w:p>
      <w:pPr>
        <w:spacing w:line="360" w:lineRule="auto"/>
        <w:ind w:firstLine="480" w:firstLineChars="200"/>
        <w:rPr>
          <w:rFonts w:hint="eastAsia" w:ascii="宋体" w:hAnsi="宋体"/>
          <w:color w:val="000000"/>
          <w:sz w:val="24"/>
        </w:rPr>
      </w:pPr>
      <w:r>
        <w:rPr>
          <w:rFonts w:hint="eastAsia" w:ascii="宋体" w:hAnsi="宋体"/>
          <w:color w:val="000000"/>
          <w:sz w:val="24"/>
        </w:rPr>
        <w:t>施工周期：在120个日历日内完工，绝不允许拖延（</w:t>
      </w:r>
      <w:r>
        <w:rPr>
          <w:rFonts w:hint="eastAsia" w:hAnsi="宋体"/>
          <w:color w:val="000000"/>
          <w:sz w:val="24"/>
          <w:lang w:val="en-US" w:eastAsia="zh-CN"/>
        </w:rPr>
        <w:t>甲方及监理</w:t>
      </w:r>
      <w:r>
        <w:rPr>
          <w:rFonts w:hint="eastAsia" w:ascii="宋体" w:hAnsi="宋体"/>
          <w:color w:val="000000"/>
          <w:sz w:val="24"/>
        </w:rPr>
        <w:t>确认的工期延误除外）。</w:t>
      </w:r>
    </w:p>
    <w:p>
      <w:pPr>
        <w:pStyle w:val="4"/>
        <w:numPr>
          <w:ilvl w:val="0"/>
          <w:numId w:val="27"/>
        </w:numPr>
        <w:rPr>
          <w:rFonts w:hint="eastAsia" w:ascii="宋体" w:hAnsi="宋体" w:cs="Arial"/>
          <w:bCs w:val="0"/>
          <w:color w:val="000000"/>
          <w:sz w:val="28"/>
          <w:szCs w:val="28"/>
        </w:rPr>
      </w:pPr>
      <w:bookmarkStart w:id="145" w:name="_Toc27621"/>
      <w:bookmarkStart w:id="146" w:name="_Toc13320"/>
      <w:bookmarkStart w:id="147" w:name="_Toc21901"/>
      <w:bookmarkStart w:id="148" w:name="_Toc20227"/>
      <w:bookmarkStart w:id="149" w:name="_Toc3008"/>
      <w:r>
        <w:rPr>
          <w:rFonts w:hint="eastAsia" w:ascii="宋体" w:hAnsi="宋体" w:cs="Arial"/>
          <w:bCs w:val="0"/>
          <w:color w:val="000000"/>
          <w:sz w:val="28"/>
          <w:szCs w:val="28"/>
        </w:rPr>
        <w:t>施工进度控制计划</w:t>
      </w:r>
      <w:bookmarkEnd w:id="145"/>
      <w:bookmarkEnd w:id="146"/>
      <w:bookmarkEnd w:id="147"/>
      <w:bookmarkEnd w:id="148"/>
      <w:bookmarkEnd w:id="149"/>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ascii="宋体" w:hAnsi="宋体"/>
          <w:color w:val="000000"/>
          <w:sz w:val="24"/>
        </w:rPr>
        <w:t>施工准备</w:t>
      </w:r>
      <w:r>
        <w:rPr>
          <w:rFonts w:hint="eastAsia" w:hAnsi="宋体"/>
          <w:color w:val="000000"/>
          <w:sz w:val="24"/>
          <w:lang w:eastAsia="zh-CN"/>
        </w:rPr>
        <w:t>，</w:t>
      </w:r>
      <w:r>
        <w:rPr>
          <w:rFonts w:hint="eastAsia" w:ascii="宋体" w:hAnsi="宋体"/>
          <w:color w:val="000000"/>
          <w:sz w:val="24"/>
        </w:rPr>
        <w:t>工期需要5个工作日；</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hAnsi="宋体"/>
          <w:color w:val="000000"/>
          <w:sz w:val="24"/>
          <w:lang w:val="en-US" w:eastAsia="zh-CN"/>
        </w:rPr>
        <w:t>各路口土方开挖、管路预埋、基础预制，</w:t>
      </w:r>
      <w:r>
        <w:rPr>
          <w:rFonts w:hint="eastAsia" w:ascii="宋体" w:hAnsi="宋体"/>
          <w:color w:val="000000"/>
          <w:sz w:val="24"/>
        </w:rPr>
        <w:t>工期需要</w:t>
      </w:r>
      <w:r>
        <w:rPr>
          <w:rFonts w:hint="eastAsia" w:hAnsi="宋体"/>
          <w:color w:val="000000"/>
          <w:sz w:val="24"/>
          <w:lang w:val="en-US" w:eastAsia="zh-CN"/>
        </w:rPr>
        <w:t>20</w:t>
      </w:r>
      <w:r>
        <w:rPr>
          <w:rFonts w:hint="eastAsia" w:ascii="宋体" w:hAnsi="宋体"/>
          <w:color w:val="000000"/>
          <w:sz w:val="24"/>
        </w:rPr>
        <w:t>个工作日；</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ascii="宋体" w:hAnsi="宋体"/>
          <w:color w:val="000000"/>
          <w:sz w:val="24"/>
        </w:rPr>
        <w:t>布线、接线、及线路测试，工期需求</w:t>
      </w:r>
      <w:r>
        <w:rPr>
          <w:rFonts w:hint="eastAsia" w:hAnsi="宋体"/>
          <w:color w:val="000000"/>
          <w:sz w:val="24"/>
          <w:lang w:val="en-US" w:eastAsia="zh-CN"/>
        </w:rPr>
        <w:t>3</w:t>
      </w:r>
      <w:r>
        <w:rPr>
          <w:rFonts w:hint="eastAsia" w:ascii="宋体" w:hAnsi="宋体"/>
          <w:color w:val="000000"/>
          <w:sz w:val="24"/>
        </w:rPr>
        <w:t>0个工作日；</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hAnsi="宋体"/>
          <w:color w:val="000000"/>
          <w:sz w:val="24"/>
          <w:lang w:val="en-US" w:eastAsia="zh-CN"/>
        </w:rPr>
        <w:t>各路口</w:t>
      </w:r>
      <w:r>
        <w:rPr>
          <w:rFonts w:hint="eastAsia" w:ascii="宋体" w:hAnsi="宋体"/>
          <w:color w:val="000000"/>
          <w:sz w:val="24"/>
        </w:rPr>
        <w:t>设备安装</w:t>
      </w:r>
      <w:r>
        <w:rPr>
          <w:rFonts w:hint="eastAsia" w:hAnsi="宋体"/>
          <w:color w:val="000000"/>
          <w:sz w:val="24"/>
          <w:lang w:eastAsia="zh-CN"/>
        </w:rPr>
        <w:t>、</w:t>
      </w:r>
      <w:r>
        <w:rPr>
          <w:rFonts w:hint="eastAsia" w:ascii="宋体" w:hAnsi="宋体"/>
          <w:color w:val="000000"/>
          <w:sz w:val="24"/>
        </w:rPr>
        <w:t>接线</w:t>
      </w:r>
      <w:r>
        <w:rPr>
          <w:rFonts w:hint="eastAsia" w:hAnsi="宋体"/>
          <w:color w:val="000000"/>
          <w:sz w:val="24"/>
          <w:lang w:eastAsia="zh-CN"/>
        </w:rPr>
        <w:t>、</w:t>
      </w:r>
      <w:r>
        <w:rPr>
          <w:rFonts w:hint="eastAsia" w:hAnsi="宋体"/>
          <w:color w:val="000000"/>
          <w:sz w:val="24"/>
          <w:lang w:val="en-US" w:eastAsia="zh-CN"/>
        </w:rPr>
        <w:t>测试</w:t>
      </w:r>
      <w:r>
        <w:rPr>
          <w:rFonts w:hint="eastAsia" w:ascii="宋体" w:hAnsi="宋体"/>
          <w:color w:val="000000"/>
          <w:sz w:val="24"/>
        </w:rPr>
        <w:t>，工期需求</w:t>
      </w:r>
      <w:r>
        <w:rPr>
          <w:rFonts w:hint="eastAsia" w:hAnsi="宋体"/>
          <w:color w:val="000000"/>
          <w:sz w:val="24"/>
          <w:lang w:val="en-US" w:eastAsia="zh-CN"/>
        </w:rPr>
        <w:t>3</w:t>
      </w:r>
      <w:r>
        <w:rPr>
          <w:rFonts w:hint="eastAsia" w:ascii="宋体" w:hAnsi="宋体"/>
          <w:color w:val="000000"/>
          <w:sz w:val="24"/>
        </w:rPr>
        <w:t>0个工作日；</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ascii="宋体" w:hAnsi="宋体"/>
          <w:color w:val="000000"/>
          <w:sz w:val="24"/>
        </w:rPr>
        <w:t>设备单机调试，工期需求1</w:t>
      </w:r>
      <w:r>
        <w:rPr>
          <w:rFonts w:hint="eastAsia" w:hAnsi="宋体"/>
          <w:color w:val="000000"/>
          <w:sz w:val="24"/>
          <w:lang w:val="en-US" w:eastAsia="zh-CN"/>
        </w:rPr>
        <w:t>0</w:t>
      </w:r>
      <w:r>
        <w:rPr>
          <w:rFonts w:hint="eastAsia" w:ascii="宋体" w:hAnsi="宋体"/>
          <w:color w:val="000000"/>
          <w:sz w:val="24"/>
        </w:rPr>
        <w:t xml:space="preserve">个工作日； </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ascii="宋体" w:hAnsi="宋体"/>
          <w:color w:val="000000"/>
          <w:sz w:val="24"/>
        </w:rPr>
        <w:t>系统</w:t>
      </w:r>
      <w:r>
        <w:rPr>
          <w:rFonts w:hint="eastAsia" w:hAnsi="宋体"/>
          <w:color w:val="000000"/>
          <w:sz w:val="24"/>
          <w:lang w:val="en-US" w:eastAsia="zh-CN"/>
        </w:rPr>
        <w:t>联合</w:t>
      </w:r>
      <w:r>
        <w:rPr>
          <w:rFonts w:hint="eastAsia" w:ascii="宋体" w:hAnsi="宋体"/>
          <w:color w:val="000000"/>
          <w:sz w:val="24"/>
        </w:rPr>
        <w:t>调试，工期需求1</w:t>
      </w:r>
      <w:r>
        <w:rPr>
          <w:rFonts w:hint="eastAsia" w:hAnsi="宋体"/>
          <w:color w:val="000000"/>
          <w:sz w:val="24"/>
          <w:lang w:val="en-US" w:eastAsia="zh-CN"/>
        </w:rPr>
        <w:t>0</w:t>
      </w:r>
      <w:r>
        <w:rPr>
          <w:rFonts w:hint="eastAsia" w:ascii="宋体" w:hAnsi="宋体"/>
          <w:color w:val="000000"/>
          <w:sz w:val="24"/>
        </w:rPr>
        <w:t>个工作日；</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ascii="宋体" w:hAnsi="宋体"/>
          <w:color w:val="000000"/>
          <w:sz w:val="24"/>
        </w:rPr>
        <w:t>系统</w:t>
      </w:r>
      <w:r>
        <w:rPr>
          <w:rFonts w:hint="eastAsia" w:hAnsi="宋体"/>
          <w:color w:val="000000"/>
          <w:sz w:val="24"/>
          <w:lang w:val="en-US" w:eastAsia="zh-CN"/>
        </w:rPr>
        <w:t>联合</w:t>
      </w:r>
      <w:r>
        <w:rPr>
          <w:rFonts w:hint="eastAsia" w:ascii="宋体" w:hAnsi="宋体"/>
          <w:color w:val="000000"/>
          <w:sz w:val="24"/>
        </w:rPr>
        <w:t>调试后</w:t>
      </w:r>
      <w:r>
        <w:rPr>
          <w:rFonts w:hint="eastAsia" w:hAnsi="宋体"/>
          <w:color w:val="000000"/>
          <w:sz w:val="24"/>
          <w:lang w:val="en-US" w:eastAsia="zh-CN"/>
        </w:rPr>
        <w:t>维修、微调、</w:t>
      </w:r>
      <w:r>
        <w:rPr>
          <w:rFonts w:hint="eastAsia" w:ascii="宋体" w:hAnsi="宋体"/>
          <w:color w:val="000000"/>
          <w:sz w:val="24"/>
        </w:rPr>
        <w:t>完善，工期需求</w:t>
      </w:r>
      <w:r>
        <w:rPr>
          <w:rFonts w:hint="eastAsia" w:hAnsi="宋体"/>
          <w:color w:val="000000"/>
          <w:sz w:val="24"/>
          <w:lang w:val="en-US" w:eastAsia="zh-CN"/>
        </w:rPr>
        <w:t>15</w:t>
      </w:r>
      <w:r>
        <w:rPr>
          <w:rFonts w:hint="eastAsia" w:ascii="宋体" w:hAnsi="宋体"/>
          <w:color w:val="000000"/>
          <w:sz w:val="24"/>
        </w:rPr>
        <w:t>个工作日。</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hAnsi="宋体"/>
          <w:color w:val="000000"/>
          <w:sz w:val="24"/>
          <w:lang w:val="en-US" w:eastAsia="zh-CN"/>
        </w:rPr>
        <w:t>道路交通</w:t>
      </w:r>
      <w:r>
        <w:rPr>
          <w:rFonts w:hint="eastAsia" w:ascii="宋体" w:hAnsi="宋体"/>
          <w:color w:val="000000"/>
          <w:sz w:val="24"/>
          <w:lang w:val="zh-CN"/>
        </w:rPr>
        <w:t>隐患点</w:t>
      </w:r>
      <w:r>
        <w:rPr>
          <w:rFonts w:hint="eastAsia" w:hAnsi="宋体"/>
          <w:color w:val="000000"/>
          <w:sz w:val="24"/>
          <w:lang w:val="en-US" w:eastAsia="zh-CN"/>
        </w:rPr>
        <w:t>物理治理（标识标线等施工），</w:t>
      </w:r>
      <w:r>
        <w:rPr>
          <w:rFonts w:hint="eastAsia" w:ascii="宋体" w:hAnsi="宋体"/>
          <w:color w:val="000000"/>
          <w:sz w:val="24"/>
        </w:rPr>
        <w:t>工期需求</w:t>
      </w:r>
      <w:r>
        <w:rPr>
          <w:rFonts w:hint="eastAsia" w:hAnsi="宋体"/>
          <w:color w:val="000000"/>
          <w:sz w:val="24"/>
          <w:lang w:val="en-US" w:eastAsia="zh-CN"/>
        </w:rPr>
        <w:t>3</w:t>
      </w:r>
      <w:r>
        <w:rPr>
          <w:rFonts w:hint="eastAsia" w:ascii="宋体" w:hAnsi="宋体"/>
          <w:color w:val="000000"/>
          <w:sz w:val="24"/>
        </w:rPr>
        <w:t>0个工作日</w:t>
      </w:r>
      <w:r>
        <w:rPr>
          <w:rFonts w:hint="eastAsia" w:hAnsi="宋体"/>
          <w:color w:val="000000"/>
          <w:sz w:val="24"/>
          <w:lang w:eastAsia="zh-CN"/>
        </w:rPr>
        <w:t>（</w:t>
      </w:r>
      <w:r>
        <w:rPr>
          <w:rFonts w:hint="eastAsia" w:hAnsi="宋体"/>
          <w:color w:val="000000"/>
          <w:sz w:val="24"/>
          <w:lang w:val="en-US" w:eastAsia="zh-CN"/>
        </w:rPr>
        <w:t>在</w:t>
      </w:r>
      <w:r>
        <w:rPr>
          <w:rFonts w:hint="eastAsia" w:ascii="宋体" w:hAnsi="宋体"/>
          <w:color w:val="000000"/>
          <w:sz w:val="24"/>
        </w:rPr>
        <w:t>施工准备</w:t>
      </w:r>
      <w:r>
        <w:rPr>
          <w:rFonts w:hint="eastAsia" w:hAnsi="宋体"/>
          <w:color w:val="000000"/>
          <w:sz w:val="24"/>
          <w:lang w:val="en-US" w:eastAsia="zh-CN"/>
        </w:rPr>
        <w:t>期后即刻实施</w:t>
      </w:r>
      <w:r>
        <w:rPr>
          <w:rFonts w:hint="eastAsia" w:hAnsi="宋体"/>
          <w:color w:val="000000"/>
          <w:sz w:val="24"/>
          <w:lang w:eastAsia="zh-CN"/>
        </w:rPr>
        <w:t>）</w:t>
      </w:r>
      <w:r>
        <w:rPr>
          <w:rFonts w:hint="eastAsia" w:ascii="宋体" w:hAnsi="宋体"/>
          <w:color w:val="000000"/>
          <w:sz w:val="24"/>
        </w:rPr>
        <w:t>；</w:t>
      </w:r>
    </w:p>
    <w:p>
      <w:pPr>
        <w:numPr>
          <w:ilvl w:val="1"/>
          <w:numId w:val="27"/>
        </w:numPr>
        <w:tabs>
          <w:tab w:val="left" w:pos="360"/>
          <w:tab w:val="clear" w:pos="840"/>
        </w:tabs>
        <w:spacing w:line="360" w:lineRule="auto"/>
        <w:ind w:left="360" w:hanging="360"/>
        <w:rPr>
          <w:rFonts w:hint="eastAsia" w:ascii="宋体" w:hAnsi="宋体"/>
          <w:color w:val="000000"/>
          <w:sz w:val="24"/>
        </w:rPr>
      </w:pPr>
      <w:r>
        <w:rPr>
          <w:rFonts w:hint="eastAsia" w:hAnsi="宋体"/>
          <w:color w:val="000000"/>
          <w:sz w:val="24"/>
          <w:lang w:val="en-US" w:eastAsia="zh-CN"/>
        </w:rPr>
        <w:t>会议厅及指挥大厅装饰装修，</w:t>
      </w:r>
      <w:r>
        <w:rPr>
          <w:rFonts w:hint="eastAsia" w:ascii="宋体" w:hAnsi="宋体"/>
          <w:color w:val="000000"/>
          <w:sz w:val="24"/>
        </w:rPr>
        <w:t>工期需求</w:t>
      </w:r>
      <w:r>
        <w:rPr>
          <w:rFonts w:hint="eastAsia" w:hAnsi="宋体"/>
          <w:color w:val="000000"/>
          <w:sz w:val="24"/>
          <w:lang w:val="en-US" w:eastAsia="zh-CN"/>
        </w:rPr>
        <w:t>6</w:t>
      </w:r>
      <w:r>
        <w:rPr>
          <w:rFonts w:hint="eastAsia" w:ascii="宋体" w:hAnsi="宋体"/>
          <w:color w:val="000000"/>
          <w:sz w:val="24"/>
        </w:rPr>
        <w:t>0个工作日</w:t>
      </w:r>
      <w:r>
        <w:rPr>
          <w:rFonts w:hint="eastAsia" w:hAnsi="宋体"/>
          <w:color w:val="000000"/>
          <w:sz w:val="24"/>
          <w:lang w:eastAsia="zh-CN"/>
        </w:rPr>
        <w:t>（</w:t>
      </w:r>
      <w:r>
        <w:rPr>
          <w:rFonts w:hint="eastAsia" w:hAnsi="宋体"/>
          <w:color w:val="000000"/>
          <w:sz w:val="24"/>
          <w:lang w:val="en-US" w:eastAsia="zh-CN"/>
        </w:rPr>
        <w:t>在</w:t>
      </w:r>
      <w:r>
        <w:rPr>
          <w:rFonts w:hint="eastAsia" w:ascii="宋体" w:hAnsi="宋体"/>
          <w:color w:val="000000"/>
          <w:sz w:val="24"/>
        </w:rPr>
        <w:t>施工准备</w:t>
      </w:r>
      <w:r>
        <w:rPr>
          <w:rFonts w:hint="eastAsia" w:hAnsi="宋体"/>
          <w:color w:val="000000"/>
          <w:sz w:val="24"/>
          <w:lang w:val="en-US" w:eastAsia="zh-CN"/>
        </w:rPr>
        <w:t>期后10日内实施</w:t>
      </w:r>
      <w:r>
        <w:rPr>
          <w:rFonts w:hint="eastAsia" w:hAnsi="宋体"/>
          <w:color w:val="000000"/>
          <w:sz w:val="24"/>
          <w:lang w:eastAsia="zh-CN"/>
        </w:rPr>
        <w:t>）</w:t>
      </w:r>
      <w:r>
        <w:rPr>
          <w:rFonts w:hint="eastAsia" w:ascii="宋体" w:hAnsi="宋体"/>
          <w:color w:val="000000"/>
          <w:sz w:val="24"/>
        </w:rPr>
        <w:t>；</w:t>
      </w:r>
    </w:p>
    <w:p>
      <w:pPr>
        <w:pStyle w:val="4"/>
        <w:numPr>
          <w:ilvl w:val="0"/>
          <w:numId w:val="27"/>
        </w:numPr>
        <w:rPr>
          <w:rFonts w:hint="eastAsia" w:ascii="宋体" w:hAnsi="宋体" w:cs="Arial"/>
          <w:bCs w:val="0"/>
          <w:color w:val="000000"/>
          <w:sz w:val="28"/>
          <w:szCs w:val="28"/>
        </w:rPr>
      </w:pPr>
      <w:bookmarkStart w:id="150" w:name="_Toc8615"/>
      <w:bookmarkStart w:id="151" w:name="_Toc31411"/>
      <w:bookmarkStart w:id="152" w:name="_Toc26756"/>
      <w:bookmarkStart w:id="153" w:name="_Toc8694"/>
      <w:bookmarkStart w:id="154" w:name="_Toc17272"/>
      <w:r>
        <w:rPr>
          <w:rFonts w:hint="eastAsia" w:ascii="宋体" w:hAnsi="宋体" w:cs="Arial"/>
          <w:bCs w:val="0"/>
          <w:color w:val="000000"/>
          <w:sz w:val="28"/>
          <w:szCs w:val="28"/>
        </w:rPr>
        <w:t>施工进度控制计划</w:t>
      </w:r>
      <w:r>
        <w:rPr>
          <w:rFonts w:hint="eastAsia" w:hAnsi="宋体" w:cs="Arial"/>
          <w:bCs w:val="0"/>
          <w:color w:val="000000"/>
          <w:sz w:val="28"/>
          <w:szCs w:val="28"/>
          <w:lang w:val="en-US" w:eastAsia="zh-CN"/>
        </w:rPr>
        <w:t>横道图</w:t>
      </w:r>
      <w:bookmarkEnd w:id="150"/>
      <w:bookmarkEnd w:id="151"/>
      <w:bookmarkEnd w:id="152"/>
      <w:bookmarkEnd w:id="153"/>
      <w:bookmarkEnd w:id="154"/>
    </w:p>
    <w:p>
      <w:pPr>
        <w:spacing w:line="360" w:lineRule="auto"/>
        <w:rPr>
          <w:rFonts w:hint="eastAsia" w:ascii="宋体" w:hAnsi="宋体" w:cs="Arial"/>
          <w:bCs/>
          <w:color w:val="000000"/>
          <w:sz w:val="24"/>
        </w:rPr>
      </w:pPr>
      <w:r>
        <w:rPr>
          <w:rFonts w:hint="eastAsia" w:ascii="宋体" w:hAnsi="宋体" w:cs="Arial"/>
          <w:bCs/>
          <w:color w:val="000000"/>
          <w:sz w:val="24"/>
        </w:rPr>
        <w:t>（见下页）</w:t>
      </w:r>
    </w:p>
    <w:p>
      <w:pPr>
        <w:spacing w:line="360" w:lineRule="auto"/>
        <w:rPr>
          <w:rFonts w:ascii="宋体" w:hAnsi="宋体"/>
          <w:color w:val="000000"/>
          <w:sz w:val="24"/>
        </w:rPr>
        <w:sectPr>
          <w:pgSz w:w="11906" w:h="16838"/>
          <w:pgMar w:top="1440" w:right="1797" w:bottom="1440" w:left="1797" w:header="851" w:footer="992" w:gutter="0"/>
          <w:pgBorders>
            <w:top w:val="none" w:sz="0" w:space="0"/>
            <w:left w:val="none" w:sz="0" w:space="0"/>
            <w:bottom w:val="none" w:sz="0" w:space="0"/>
            <w:right w:val="none" w:sz="0" w:space="0"/>
          </w:pgBorders>
          <w:cols w:space="425" w:num="1"/>
          <w:titlePg/>
          <w:docGrid w:linePitch="312" w:charSpace="0"/>
        </w:sectPr>
      </w:pPr>
    </w:p>
    <w:p>
      <w:pPr>
        <w:spacing w:line="360" w:lineRule="auto"/>
        <w:rPr>
          <w:rFonts w:hint="eastAsia" w:ascii="宋体" w:hAnsi="宋体" w:eastAsia="宋体"/>
          <w:color w:val="000000"/>
          <w:sz w:val="24"/>
          <w:lang w:eastAsia="zh-CN"/>
        </w:rPr>
        <w:sectPr>
          <w:pgSz w:w="16838" w:h="11906" w:orient="landscape"/>
          <w:pgMar w:top="1797" w:right="438" w:bottom="1797" w:left="420" w:header="851" w:footer="992" w:gutter="0"/>
          <w:pgBorders>
            <w:top w:val="none" w:sz="0" w:space="0"/>
            <w:left w:val="none" w:sz="0" w:space="0"/>
            <w:bottom w:val="none" w:sz="0" w:space="0"/>
            <w:right w:val="none" w:sz="0" w:space="0"/>
          </w:pgBorders>
          <w:cols w:space="425" w:num="1"/>
          <w:titlePg/>
          <w:docGrid w:linePitch="312" w:charSpace="0"/>
        </w:sectPr>
      </w:pPr>
      <w:r>
        <w:rPr>
          <w:rFonts w:hint="eastAsia" w:ascii="宋体" w:hAnsi="宋体" w:eastAsia="宋体"/>
          <w:color w:val="000000"/>
          <w:sz w:val="24"/>
          <w:lang w:eastAsia="zh-CN"/>
        </w:rPr>
        <w:drawing>
          <wp:inline distT="0" distB="0" distL="114300" distR="114300">
            <wp:extent cx="10164445" cy="3042285"/>
            <wp:effectExtent l="0" t="0" r="0" b="0"/>
            <wp:docPr id="182" name="图片 182" descr="横道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横道图"/>
                    <pic:cNvPicPr>
                      <a:picLocks noChangeAspect="1"/>
                    </pic:cNvPicPr>
                  </pic:nvPicPr>
                  <pic:blipFill>
                    <a:blip r:embed="rId7"/>
                    <a:srcRect l="25355" t="29329" r="21724" b="25972"/>
                    <a:stretch>
                      <a:fillRect/>
                    </a:stretch>
                  </pic:blipFill>
                  <pic:spPr>
                    <a:xfrm>
                      <a:off x="0" y="0"/>
                      <a:ext cx="10164445" cy="3042285"/>
                    </a:xfrm>
                    <a:prstGeom prst="rect">
                      <a:avLst/>
                    </a:prstGeom>
                  </pic:spPr>
                </pic:pic>
              </a:graphicData>
            </a:graphic>
          </wp:inline>
        </w:drawing>
      </w:r>
    </w:p>
    <w:p>
      <w:pPr>
        <w:pStyle w:val="4"/>
        <w:numPr>
          <w:ilvl w:val="0"/>
          <w:numId w:val="27"/>
        </w:numPr>
        <w:rPr>
          <w:rFonts w:hint="eastAsia" w:ascii="宋体" w:hAnsi="宋体"/>
          <w:sz w:val="28"/>
          <w:szCs w:val="28"/>
        </w:rPr>
      </w:pPr>
      <w:bookmarkStart w:id="155" w:name="_Toc4700"/>
      <w:bookmarkStart w:id="156" w:name="_Toc3154"/>
      <w:bookmarkStart w:id="157" w:name="_Toc16082"/>
      <w:bookmarkStart w:id="158" w:name="_Toc2590"/>
      <w:bookmarkStart w:id="159" w:name="_Toc23777"/>
      <w:r>
        <w:rPr>
          <w:rFonts w:ascii="宋体" w:hAnsi="宋体" w:cs="Arial"/>
          <w:bCs w:val="0"/>
          <w:color w:val="000000"/>
          <w:sz w:val="28"/>
          <w:szCs w:val="28"/>
        </w:rPr>
        <w:t>物力资源配置</w:t>
      </w:r>
      <w:bookmarkEnd w:id="155"/>
      <w:bookmarkEnd w:id="156"/>
      <w:bookmarkEnd w:id="157"/>
      <w:bookmarkEnd w:id="158"/>
      <w:bookmarkEnd w:id="159"/>
    </w:p>
    <w:p>
      <w:pPr>
        <w:spacing w:line="360" w:lineRule="auto"/>
        <w:ind w:firstLine="480" w:firstLineChars="200"/>
        <w:rPr>
          <w:rFonts w:hint="eastAsia" w:ascii="宋体" w:hAnsi="宋体" w:cs="Arial"/>
          <w:sz w:val="24"/>
        </w:rPr>
      </w:pPr>
      <w:r>
        <w:rPr>
          <w:rFonts w:ascii="宋体" w:hAnsi="宋体" w:cs="Arial"/>
          <w:sz w:val="24"/>
        </w:rPr>
        <w:t>由于我公司具有长期工程施工的经历及经验，配备了大量施工机具及系统测试、调试类的仪器等设备。对劳力、物资、机具做了较周全的准备，能够做到一声令下马上进场施工。</w:t>
      </w:r>
    </w:p>
    <w:p>
      <w:pPr>
        <w:spacing w:line="360" w:lineRule="auto"/>
        <w:ind w:firstLine="480" w:firstLineChars="200"/>
        <w:rPr>
          <w:rFonts w:hint="eastAsia" w:ascii="宋体" w:hAnsi="宋体" w:cs="Arial"/>
          <w:sz w:val="24"/>
        </w:rPr>
      </w:pPr>
      <w:r>
        <w:rPr>
          <w:rFonts w:hint="eastAsia" w:ascii="宋体" w:hAnsi="宋体"/>
          <w:color w:val="000000"/>
          <w:sz w:val="24"/>
        </w:rPr>
        <w:t>对施工机械设备、工具、测量、测试仪器等要根据不同工艺特点和技术要求，合理选择、安全使用、妥善保管、及时养护、定期检定、健全制度、检查指导，使之始终处于良好的使用状态。</w:t>
      </w:r>
    </w:p>
    <w:p>
      <w:pPr>
        <w:spacing w:line="360" w:lineRule="auto"/>
        <w:ind w:firstLine="480" w:firstLineChars="200"/>
        <w:rPr>
          <w:rFonts w:ascii="宋体" w:hAnsi="宋体" w:cs="Arial"/>
          <w:sz w:val="24"/>
        </w:rPr>
      </w:pPr>
      <w:r>
        <w:rPr>
          <w:rFonts w:ascii="宋体" w:hAnsi="宋体" w:cs="Arial"/>
          <w:sz w:val="24"/>
        </w:rPr>
        <w:t>根据工程情况，施工装备及检测设备配置如下：</w:t>
      </w:r>
    </w:p>
    <w:tbl>
      <w:tblPr>
        <w:tblStyle w:val="41"/>
        <w:tblW w:w="82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7"/>
        <w:gridCol w:w="1660"/>
        <w:gridCol w:w="1429"/>
        <w:gridCol w:w="750"/>
        <w:gridCol w:w="730"/>
        <w:gridCol w:w="710"/>
        <w:gridCol w:w="868"/>
        <w:gridCol w:w="731"/>
        <w:gridCol w:w="8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8" w:hRule="atLeast"/>
        </w:trPr>
        <w:tc>
          <w:tcPr>
            <w:tcW w:w="527"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序号</w:t>
            </w:r>
          </w:p>
        </w:tc>
        <w:tc>
          <w:tcPr>
            <w:tcW w:w="1660"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机械或</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设备名称</w:t>
            </w:r>
          </w:p>
        </w:tc>
        <w:tc>
          <w:tcPr>
            <w:tcW w:w="1429"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型号</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规格</w:t>
            </w:r>
          </w:p>
        </w:tc>
        <w:tc>
          <w:tcPr>
            <w:tcW w:w="750"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数量</w:t>
            </w:r>
          </w:p>
        </w:tc>
        <w:tc>
          <w:tcPr>
            <w:tcW w:w="730"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国别</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产地</w:t>
            </w:r>
          </w:p>
        </w:tc>
        <w:tc>
          <w:tcPr>
            <w:tcW w:w="710"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制造</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年份</w:t>
            </w:r>
          </w:p>
        </w:tc>
        <w:tc>
          <w:tcPr>
            <w:tcW w:w="868"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额定功率</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（KW）</w:t>
            </w:r>
          </w:p>
        </w:tc>
        <w:tc>
          <w:tcPr>
            <w:tcW w:w="731"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生产</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能力</w:t>
            </w:r>
          </w:p>
        </w:tc>
        <w:tc>
          <w:tcPr>
            <w:tcW w:w="871" w:type="dxa"/>
            <w:vAlign w:val="top"/>
          </w:tcPr>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施工</w:t>
            </w:r>
          </w:p>
          <w:p>
            <w:pPr>
              <w:spacing w:before="156" w:line="240" w:lineRule="auto"/>
              <w:ind w:left="0" w:leftChars="0" w:firstLine="0" w:firstLineChars="0"/>
              <w:jc w:val="center"/>
              <w:rPr>
                <w:rFonts w:ascii="宋体" w:hAnsi="宋体" w:eastAsia="宋体" w:cs="宋体"/>
                <w:spacing w:val="-7"/>
                <w:position w:val="13"/>
                <w:sz w:val="21"/>
                <w:szCs w:val="21"/>
              </w:rPr>
            </w:pPr>
            <w:r>
              <w:rPr>
                <w:rFonts w:ascii="宋体" w:hAnsi="宋体" w:eastAsia="宋体" w:cs="宋体"/>
                <w:spacing w:val="-7"/>
                <w:position w:val="13"/>
                <w:sz w:val="21"/>
                <w:szCs w:val="21"/>
              </w:rPr>
              <w:t>部位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1</w:t>
            </w:r>
          </w:p>
        </w:tc>
        <w:tc>
          <w:tcPr>
            <w:tcW w:w="1660" w:type="dxa"/>
            <w:vAlign w:val="top"/>
          </w:tcPr>
          <w:p>
            <w:pPr>
              <w:spacing w:before="147" w:line="240" w:lineRule="auto"/>
              <w:ind w:left="0" w:leftChars="0" w:firstLine="0" w:firstLineChars="0"/>
              <w:jc w:val="center"/>
              <w:rPr>
                <w:rFonts w:hint="eastAsia" w:ascii="宋体" w:hAnsi="宋体" w:eastAsia="宋体" w:cs="宋体"/>
                <w:sz w:val="21"/>
                <w:szCs w:val="21"/>
                <w:lang w:eastAsia="zh-CN"/>
              </w:rPr>
            </w:pPr>
            <w:r>
              <w:rPr>
                <w:rFonts w:hint="eastAsia" w:hAnsi="宋体" w:cs="宋体"/>
                <w:sz w:val="21"/>
                <w:szCs w:val="21"/>
                <w:lang w:val="en-US" w:eastAsia="zh-CN"/>
              </w:rPr>
              <w:t>电锤</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φ3-25 ㎜</w:t>
            </w:r>
          </w:p>
        </w:tc>
        <w:tc>
          <w:tcPr>
            <w:tcW w:w="750" w:type="dxa"/>
            <w:vAlign w:val="top"/>
          </w:tcPr>
          <w:p>
            <w:pPr>
              <w:spacing w:before="147" w:line="240" w:lineRule="auto"/>
              <w:ind w:left="0" w:leftChars="0" w:firstLine="0" w:firstLineChars="0"/>
              <w:jc w:val="center"/>
              <w:rPr>
                <w:rFonts w:ascii="宋体" w:hAnsi="宋体" w:eastAsia="宋体" w:cs="宋体"/>
                <w:sz w:val="21"/>
                <w:szCs w:val="21"/>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ascii="宋体" w:hAnsi="宋体" w:eastAsia="宋体" w:cs="宋体"/>
                <w:sz w:val="21"/>
                <w:szCs w:val="21"/>
              </w:rPr>
              <w:t>20</w:t>
            </w:r>
            <w:r>
              <w:rPr>
                <w:rFonts w:hint="eastAsia" w:hAnsi="宋体" w:cs="宋体"/>
                <w:sz w:val="21"/>
                <w:szCs w:val="21"/>
                <w:lang w:val="en-US" w:eastAsia="zh-CN"/>
              </w:rPr>
              <w:t>20</w:t>
            </w:r>
          </w:p>
        </w:tc>
        <w:tc>
          <w:tcPr>
            <w:tcW w:w="868"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0.6</w:t>
            </w:r>
          </w:p>
        </w:tc>
        <w:tc>
          <w:tcPr>
            <w:tcW w:w="73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w:t>
            </w:r>
          </w:p>
        </w:tc>
        <w:tc>
          <w:tcPr>
            <w:tcW w:w="166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手电钻</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φ1-18 ㎜</w:t>
            </w:r>
          </w:p>
        </w:tc>
        <w:tc>
          <w:tcPr>
            <w:tcW w:w="750" w:type="dxa"/>
            <w:vAlign w:val="top"/>
          </w:tcPr>
          <w:p>
            <w:pPr>
              <w:spacing w:before="147" w:line="240" w:lineRule="auto"/>
              <w:ind w:left="0" w:leftChars="0" w:firstLine="0" w:firstLineChars="0"/>
              <w:jc w:val="center"/>
              <w:rPr>
                <w:rFonts w:hint="eastAsia" w:ascii="宋体" w:hAnsi="宋体" w:eastAsia="宋体" w:cs="宋体"/>
                <w:sz w:val="21"/>
                <w:szCs w:val="21"/>
                <w:lang w:eastAsia="zh-CN"/>
              </w:rPr>
            </w:pPr>
            <w:r>
              <w:rPr>
                <w:rFonts w:hint="eastAsia" w:hAnsi="宋体" w:cs="宋体"/>
                <w:sz w:val="21"/>
                <w:szCs w:val="21"/>
                <w:lang w:val="en-US" w:eastAsia="zh-CN"/>
              </w:rPr>
              <w:t>8</w:t>
            </w:r>
            <w:r>
              <w:rPr>
                <w:rFonts w:ascii="宋体" w:hAnsi="宋体" w:eastAsia="宋体" w:cs="宋体"/>
                <w:sz w:val="21"/>
                <w:szCs w:val="21"/>
              </w:rPr>
              <w:t>把</w:t>
            </w:r>
          </w:p>
        </w:tc>
        <w:tc>
          <w:tcPr>
            <w:tcW w:w="73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20</w:t>
            </w:r>
            <w:r>
              <w:rPr>
                <w:rFonts w:hint="eastAsia" w:hAnsi="宋体" w:cs="宋体"/>
                <w:sz w:val="21"/>
                <w:szCs w:val="21"/>
                <w:lang w:val="en-US" w:eastAsia="zh-CN"/>
              </w:rPr>
              <w:t>20</w:t>
            </w:r>
          </w:p>
        </w:tc>
        <w:tc>
          <w:tcPr>
            <w:tcW w:w="868"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1.8</w:t>
            </w:r>
          </w:p>
        </w:tc>
        <w:tc>
          <w:tcPr>
            <w:tcW w:w="73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3</w:t>
            </w:r>
          </w:p>
        </w:tc>
        <w:tc>
          <w:tcPr>
            <w:tcW w:w="166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角磨机</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200w</w:t>
            </w:r>
          </w:p>
        </w:tc>
        <w:tc>
          <w:tcPr>
            <w:tcW w:w="750" w:type="dxa"/>
            <w:vAlign w:val="top"/>
          </w:tcPr>
          <w:p>
            <w:pPr>
              <w:spacing w:before="147" w:line="240" w:lineRule="auto"/>
              <w:ind w:left="0" w:leftChars="0" w:firstLine="0" w:firstLineChars="0"/>
              <w:jc w:val="center"/>
              <w:rPr>
                <w:rFonts w:ascii="宋体" w:hAnsi="宋体" w:eastAsia="宋体" w:cs="宋体"/>
                <w:sz w:val="21"/>
                <w:szCs w:val="21"/>
              </w:rPr>
            </w:pPr>
            <w:r>
              <w:rPr>
                <w:rFonts w:hint="eastAsia" w:hAnsi="宋体" w:cs="宋体"/>
                <w:sz w:val="21"/>
                <w:szCs w:val="21"/>
                <w:lang w:val="en-US" w:eastAsia="zh-CN"/>
              </w:rPr>
              <w:t>8</w:t>
            </w:r>
            <w:r>
              <w:rPr>
                <w:rFonts w:ascii="宋体" w:hAnsi="宋体" w:eastAsia="宋体" w:cs="宋体"/>
                <w:sz w:val="21"/>
                <w:szCs w:val="21"/>
              </w:rPr>
              <w:t>把</w:t>
            </w:r>
          </w:p>
        </w:tc>
        <w:tc>
          <w:tcPr>
            <w:tcW w:w="73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20</w:t>
            </w:r>
            <w:r>
              <w:rPr>
                <w:rFonts w:hint="eastAsia" w:hAnsi="宋体" w:cs="宋体"/>
                <w:sz w:val="21"/>
                <w:szCs w:val="21"/>
                <w:lang w:val="en-US" w:eastAsia="zh-CN"/>
              </w:rPr>
              <w:t>20</w:t>
            </w:r>
          </w:p>
        </w:tc>
        <w:tc>
          <w:tcPr>
            <w:tcW w:w="868"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0.2</w:t>
            </w:r>
          </w:p>
        </w:tc>
        <w:tc>
          <w:tcPr>
            <w:tcW w:w="73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4</w:t>
            </w:r>
          </w:p>
        </w:tc>
        <w:tc>
          <w:tcPr>
            <w:tcW w:w="166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双人字铝合金梯</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2米</w:t>
            </w:r>
          </w:p>
        </w:tc>
        <w:tc>
          <w:tcPr>
            <w:tcW w:w="750" w:type="dxa"/>
            <w:vAlign w:val="top"/>
          </w:tcPr>
          <w:p>
            <w:pPr>
              <w:spacing w:before="147" w:line="240" w:lineRule="auto"/>
              <w:ind w:left="0" w:leftChars="0" w:firstLine="0" w:firstLineChars="0"/>
              <w:jc w:val="center"/>
              <w:rPr>
                <w:rFonts w:hint="eastAsia" w:ascii="宋体" w:hAnsi="宋体" w:eastAsia="宋体" w:cs="宋体"/>
                <w:sz w:val="21"/>
                <w:szCs w:val="21"/>
                <w:lang w:eastAsia="zh-CN"/>
              </w:rPr>
            </w:pPr>
            <w:r>
              <w:rPr>
                <w:rFonts w:hint="eastAsia" w:hAnsi="宋体" w:cs="宋体"/>
                <w:sz w:val="21"/>
                <w:szCs w:val="21"/>
                <w:lang w:val="en-US" w:eastAsia="zh-CN"/>
              </w:rPr>
              <w:t>8具</w:t>
            </w:r>
          </w:p>
        </w:tc>
        <w:tc>
          <w:tcPr>
            <w:tcW w:w="73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hint="eastAsia" w:ascii="宋体" w:hAnsi="宋体" w:eastAsia="宋体" w:cs="宋体"/>
                <w:sz w:val="21"/>
                <w:szCs w:val="21"/>
                <w:lang w:eastAsia="zh-CN"/>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rPr>
            </w:pPr>
          </w:p>
        </w:tc>
        <w:tc>
          <w:tcPr>
            <w:tcW w:w="73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5</w:t>
            </w:r>
          </w:p>
        </w:tc>
        <w:tc>
          <w:tcPr>
            <w:tcW w:w="166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双人字铝合金梯</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4米</w:t>
            </w:r>
          </w:p>
        </w:tc>
        <w:tc>
          <w:tcPr>
            <w:tcW w:w="750" w:type="dxa"/>
            <w:vAlign w:val="top"/>
          </w:tcPr>
          <w:p>
            <w:pPr>
              <w:spacing w:before="147" w:line="240" w:lineRule="auto"/>
              <w:ind w:left="0" w:leftChars="0" w:firstLine="0" w:firstLineChars="0"/>
              <w:jc w:val="center"/>
              <w:rPr>
                <w:rFonts w:ascii="宋体" w:hAnsi="宋体" w:eastAsia="宋体" w:cs="宋体"/>
                <w:sz w:val="21"/>
                <w:szCs w:val="21"/>
              </w:rPr>
            </w:pPr>
            <w:r>
              <w:rPr>
                <w:rFonts w:hint="eastAsia" w:hAnsi="宋体" w:cs="宋体"/>
                <w:sz w:val="21"/>
                <w:szCs w:val="21"/>
                <w:lang w:val="en-US" w:eastAsia="zh-CN"/>
              </w:rPr>
              <w:t>8具</w:t>
            </w:r>
          </w:p>
        </w:tc>
        <w:tc>
          <w:tcPr>
            <w:tcW w:w="73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rPr>
            </w:pPr>
          </w:p>
        </w:tc>
        <w:tc>
          <w:tcPr>
            <w:tcW w:w="73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6</w:t>
            </w:r>
          </w:p>
        </w:tc>
        <w:tc>
          <w:tcPr>
            <w:tcW w:w="166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单铝合金梯</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8米</w:t>
            </w:r>
          </w:p>
        </w:tc>
        <w:tc>
          <w:tcPr>
            <w:tcW w:w="750" w:type="dxa"/>
            <w:vAlign w:val="top"/>
          </w:tcPr>
          <w:p>
            <w:pPr>
              <w:spacing w:before="147" w:line="240" w:lineRule="auto"/>
              <w:ind w:left="0" w:leftChars="0" w:firstLine="0" w:firstLineChars="0"/>
              <w:jc w:val="center"/>
              <w:rPr>
                <w:rFonts w:ascii="宋体" w:hAnsi="宋体" w:eastAsia="宋体" w:cs="宋体"/>
                <w:sz w:val="21"/>
                <w:szCs w:val="21"/>
              </w:rPr>
            </w:pPr>
            <w:r>
              <w:rPr>
                <w:rFonts w:hint="eastAsia" w:hAnsi="宋体" w:cs="宋体"/>
                <w:sz w:val="21"/>
                <w:szCs w:val="21"/>
                <w:lang w:val="en-US" w:eastAsia="zh-CN"/>
              </w:rPr>
              <w:t>8具</w:t>
            </w:r>
          </w:p>
        </w:tc>
        <w:tc>
          <w:tcPr>
            <w:tcW w:w="73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rPr>
            </w:pPr>
          </w:p>
        </w:tc>
        <w:tc>
          <w:tcPr>
            <w:tcW w:w="73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7</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双轮手推车</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0</w:t>
            </w:r>
            <w:r>
              <w:rPr>
                <w:rFonts w:hint="eastAsia" w:hAnsi="宋体" w:cs="宋体"/>
                <w:sz w:val="21"/>
                <w:szCs w:val="21"/>
                <w:lang w:val="en-US" w:eastAsia="zh-CN"/>
              </w:rPr>
              <w:t>.</w:t>
            </w:r>
            <w:r>
              <w:rPr>
                <w:rFonts w:ascii="宋体" w:hAnsi="宋体" w:eastAsia="宋体" w:cs="宋体"/>
                <w:sz w:val="21"/>
                <w:szCs w:val="21"/>
              </w:rPr>
              <w:t>5t</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辆</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8</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钢卷尺</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50 米</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把</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9</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水平尺\垂直尺</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1m</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把</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10</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万用表</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5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bidi="ar-SA"/>
              </w:rPr>
            </w:pPr>
            <w:r>
              <w:rPr>
                <w:rFonts w:hint="eastAsia" w:hAnsi="宋体" w:cs="宋体"/>
                <w:sz w:val="21"/>
                <w:szCs w:val="21"/>
                <w:lang w:val="en-US" w:eastAsia="zh-CN"/>
              </w:rPr>
              <w:t>8只</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11</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LED照明</w:t>
            </w:r>
            <w:r>
              <w:rPr>
                <w:rFonts w:ascii="宋体" w:hAnsi="宋体" w:eastAsia="宋体" w:cs="宋体"/>
                <w:sz w:val="21"/>
                <w:szCs w:val="21"/>
              </w:rPr>
              <w:t>灯</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100w</w:t>
            </w:r>
          </w:p>
        </w:tc>
        <w:tc>
          <w:tcPr>
            <w:tcW w:w="750"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hint="eastAsia" w:hAnsi="宋体" w:cs="宋体"/>
                <w:sz w:val="21"/>
                <w:szCs w:val="21"/>
                <w:lang w:val="en-US" w:eastAsia="zh-CN"/>
              </w:rPr>
              <w:t>16盏</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bidi="ar-SA"/>
              </w:rPr>
            </w:pPr>
            <w:r>
              <w:rPr>
                <w:rFonts w:hint="eastAsia" w:hAnsi="宋体" w:cs="宋体"/>
                <w:sz w:val="21"/>
                <w:szCs w:val="21"/>
                <w:lang w:val="en-US" w:eastAsia="zh-CN" w:bidi="ar-SA"/>
              </w:rPr>
              <w:t>2021</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1</w:t>
            </w: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12</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安全工作</w:t>
            </w:r>
            <w:r>
              <w:rPr>
                <w:rFonts w:hint="eastAsia" w:hAnsi="宋体" w:cs="宋体"/>
                <w:sz w:val="21"/>
                <w:szCs w:val="21"/>
                <w:lang w:val="en-US" w:eastAsia="zh-CN"/>
              </w:rPr>
              <w:t>头</w:t>
            </w:r>
            <w:r>
              <w:rPr>
                <w:rFonts w:ascii="宋体" w:hAnsi="宋体" w:eastAsia="宋体" w:cs="宋体"/>
                <w:sz w:val="21"/>
                <w:szCs w:val="21"/>
              </w:rPr>
              <w:t>灯</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10w</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100盏</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bidi="ar-SA"/>
              </w:rPr>
              <w:t>2021</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0.1</w:t>
            </w: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13</w:t>
            </w:r>
          </w:p>
        </w:tc>
        <w:tc>
          <w:tcPr>
            <w:tcW w:w="1660"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电工工具</w:t>
            </w:r>
          </w:p>
        </w:tc>
        <w:tc>
          <w:tcPr>
            <w:tcW w:w="1429"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rPr>
            </w:pPr>
            <w:r>
              <w:rPr>
                <w:rFonts w:hint="eastAsia" w:hAnsi="宋体" w:cs="宋体"/>
                <w:sz w:val="21"/>
                <w:szCs w:val="21"/>
                <w:lang w:val="en-US" w:eastAsia="zh-CN"/>
              </w:rPr>
              <w:t>套装</w:t>
            </w:r>
          </w:p>
        </w:tc>
        <w:tc>
          <w:tcPr>
            <w:tcW w:w="750" w:type="dxa"/>
            <w:vAlign w:val="top"/>
          </w:tcPr>
          <w:p>
            <w:pPr>
              <w:spacing w:before="147" w:line="240" w:lineRule="auto"/>
              <w:ind w:left="0" w:leftChars="0" w:firstLine="0" w:firstLineChars="0"/>
              <w:jc w:val="center"/>
              <w:rPr>
                <w:rFonts w:hint="default" w:hAnsi="宋体" w:cs="宋体"/>
                <w:sz w:val="21"/>
                <w:szCs w:val="21"/>
                <w:lang w:val="en-US" w:eastAsia="zh-CN"/>
              </w:rPr>
            </w:pPr>
            <w:r>
              <w:rPr>
                <w:rFonts w:hint="eastAsia" w:hAnsi="宋体" w:cs="宋体"/>
                <w:sz w:val="21"/>
                <w:szCs w:val="21"/>
                <w:lang w:val="en-US" w:eastAsia="zh-CN"/>
              </w:rPr>
              <w:t>30套</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bidi="ar-SA"/>
              </w:rPr>
              <w:t>2021</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hAnsi="宋体" w:cs="宋体"/>
                <w:sz w:val="21"/>
                <w:szCs w:val="21"/>
                <w:lang w:val="en-US" w:eastAsia="zh-CN"/>
              </w:rPr>
              <w:t>14</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临电配电箱</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5回路</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w:t>
            </w:r>
            <w:r>
              <w:rPr>
                <w:rFonts w:hint="eastAsia" w:hAnsi="宋体" w:cs="宋体"/>
                <w:sz w:val="21"/>
                <w:szCs w:val="21"/>
                <w:lang w:val="en-US" w:eastAsia="zh-CN"/>
              </w:rPr>
              <w:t>9</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center"/>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hAnsi="宋体" w:cs="宋体"/>
                <w:sz w:val="21"/>
                <w:szCs w:val="21"/>
                <w:lang w:val="en-US" w:eastAsia="zh-CN"/>
              </w:rPr>
              <w:t>15</w:t>
            </w:r>
          </w:p>
        </w:tc>
        <w:tc>
          <w:tcPr>
            <w:tcW w:w="1660"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hint="eastAsia" w:ascii="宋体" w:hAnsi="宋体" w:eastAsia="宋体" w:cs="宋体"/>
                <w:sz w:val="21"/>
                <w:szCs w:val="21"/>
              </w:rPr>
              <w:t>对讲机</w:t>
            </w:r>
          </w:p>
        </w:tc>
        <w:tc>
          <w:tcPr>
            <w:tcW w:w="1429"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T80</w:t>
            </w:r>
          </w:p>
        </w:tc>
        <w:tc>
          <w:tcPr>
            <w:tcW w:w="750" w:type="dxa"/>
            <w:vAlign w:val="center"/>
          </w:tcPr>
          <w:p>
            <w:pPr>
              <w:spacing w:before="147" w:line="240" w:lineRule="auto"/>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w:t>
            </w:r>
            <w:r>
              <w:rPr>
                <w:rFonts w:ascii="宋体" w:hAnsi="宋体" w:eastAsia="宋体" w:cs="宋体"/>
                <w:sz w:val="21"/>
                <w:szCs w:val="21"/>
              </w:rPr>
              <w:t>台</w:t>
            </w:r>
          </w:p>
        </w:tc>
        <w:tc>
          <w:tcPr>
            <w:tcW w:w="730" w:type="dxa"/>
            <w:vAlign w:val="center"/>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摩托</w:t>
            </w:r>
          </w:p>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罗拉</w:t>
            </w:r>
          </w:p>
        </w:tc>
        <w:tc>
          <w:tcPr>
            <w:tcW w:w="710"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201</w:t>
            </w:r>
            <w:r>
              <w:rPr>
                <w:rFonts w:hint="eastAsia" w:ascii="宋体" w:hAnsi="宋体" w:eastAsia="宋体" w:cs="宋体"/>
                <w:sz w:val="21"/>
                <w:szCs w:val="21"/>
                <w:lang w:val="en-US" w:eastAsia="zh-CN"/>
              </w:rPr>
              <w:t>9</w:t>
            </w:r>
          </w:p>
        </w:tc>
        <w:tc>
          <w:tcPr>
            <w:tcW w:w="868"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p>
        </w:tc>
        <w:tc>
          <w:tcPr>
            <w:tcW w:w="731"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良好</w:t>
            </w:r>
          </w:p>
        </w:tc>
        <w:tc>
          <w:tcPr>
            <w:tcW w:w="871"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1</w:t>
            </w:r>
            <w:r>
              <w:rPr>
                <w:rFonts w:hint="eastAsia" w:hAnsi="宋体" w:cs="宋体"/>
                <w:sz w:val="21"/>
                <w:szCs w:val="21"/>
                <w:lang w:val="en-US" w:eastAsia="zh-CN"/>
              </w:rPr>
              <w:t>6</w:t>
            </w:r>
          </w:p>
        </w:tc>
        <w:tc>
          <w:tcPr>
            <w:tcW w:w="1660" w:type="dxa"/>
            <w:vAlign w:val="center"/>
          </w:tcPr>
          <w:p>
            <w:pPr>
              <w:spacing w:before="147" w:line="240" w:lineRule="auto"/>
              <w:ind w:left="0" w:leftChars="0" w:firstLine="0" w:firstLineChars="0"/>
              <w:jc w:val="center"/>
              <w:rPr>
                <w:rFonts w:hint="eastAsia" w:ascii="宋体" w:hAnsi="宋体" w:eastAsia="宋体" w:cs="宋体"/>
                <w:sz w:val="21"/>
                <w:szCs w:val="21"/>
              </w:rPr>
            </w:pPr>
            <w:r>
              <w:rPr>
                <w:rFonts w:ascii="宋体" w:hAnsi="宋体" w:eastAsia="宋体" w:cs="宋体"/>
                <w:sz w:val="21"/>
                <w:szCs w:val="21"/>
              </w:rPr>
              <w:t>施工信号灯</w:t>
            </w:r>
          </w:p>
        </w:tc>
        <w:tc>
          <w:tcPr>
            <w:tcW w:w="1429" w:type="dxa"/>
            <w:vAlign w:val="center"/>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H-BS4-750</w:t>
            </w:r>
          </w:p>
        </w:tc>
        <w:tc>
          <w:tcPr>
            <w:tcW w:w="750" w:type="dxa"/>
            <w:vAlign w:val="center"/>
          </w:tcPr>
          <w:p>
            <w:pPr>
              <w:spacing w:before="147" w:line="240" w:lineRule="auto"/>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r>
              <w:rPr>
                <w:rFonts w:ascii="宋体" w:hAnsi="宋体" w:eastAsia="宋体" w:cs="宋体"/>
                <w:sz w:val="21"/>
                <w:szCs w:val="21"/>
              </w:rPr>
              <w:t>台</w:t>
            </w:r>
          </w:p>
        </w:tc>
        <w:tc>
          <w:tcPr>
            <w:tcW w:w="730" w:type="dxa"/>
            <w:vAlign w:val="center"/>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中国</w:t>
            </w:r>
          </w:p>
        </w:tc>
        <w:tc>
          <w:tcPr>
            <w:tcW w:w="710"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201</w:t>
            </w:r>
            <w:r>
              <w:rPr>
                <w:rFonts w:hint="eastAsia" w:ascii="宋体" w:hAnsi="宋体" w:eastAsia="宋体" w:cs="宋体"/>
                <w:sz w:val="21"/>
                <w:szCs w:val="21"/>
                <w:lang w:val="en-US" w:eastAsia="zh-CN"/>
              </w:rPr>
              <w:t>9</w:t>
            </w:r>
          </w:p>
        </w:tc>
        <w:tc>
          <w:tcPr>
            <w:tcW w:w="868"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p>
        </w:tc>
        <w:tc>
          <w:tcPr>
            <w:tcW w:w="731"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良好</w:t>
            </w:r>
          </w:p>
        </w:tc>
        <w:tc>
          <w:tcPr>
            <w:tcW w:w="871" w:type="dxa"/>
            <w:vAlign w:val="center"/>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各阶段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1</w:t>
            </w:r>
            <w:r>
              <w:rPr>
                <w:rFonts w:hint="eastAsia" w:hAnsi="宋体" w:cs="宋体"/>
                <w:sz w:val="21"/>
                <w:szCs w:val="21"/>
                <w:lang w:val="en-US" w:eastAsia="zh-CN"/>
              </w:rPr>
              <w:t>7</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电动切割机</w:t>
            </w:r>
          </w:p>
        </w:tc>
        <w:tc>
          <w:tcPr>
            <w:tcW w:w="1429" w:type="dxa"/>
            <w:vAlign w:val="top"/>
          </w:tcPr>
          <w:p>
            <w:pPr>
              <w:spacing w:before="147" w:line="240" w:lineRule="auto"/>
              <w:ind w:left="0" w:leftChars="0" w:firstLine="0" w:firstLineChars="0"/>
              <w:jc w:val="center"/>
              <w:rPr>
                <w:rFonts w:ascii="宋体" w:hAnsi="宋体" w:eastAsia="宋体" w:cs="宋体"/>
                <w:sz w:val="21"/>
                <w:szCs w:val="21"/>
              </w:rPr>
            </w:pPr>
            <w:r>
              <w:rPr>
                <w:rFonts w:ascii="宋体" w:hAnsi="宋体" w:eastAsia="宋体" w:cs="宋体"/>
                <w:sz w:val="21"/>
                <w:szCs w:val="21"/>
              </w:rPr>
              <w:t>φ350</w:t>
            </w:r>
          </w:p>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AC220V</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2015</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0.35</w:t>
            </w: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1</w:t>
            </w:r>
            <w:r>
              <w:rPr>
                <w:rFonts w:hint="eastAsia" w:hAnsi="宋体" w:cs="宋体"/>
                <w:sz w:val="21"/>
                <w:szCs w:val="21"/>
                <w:lang w:val="en-US" w:eastAsia="zh-CN"/>
              </w:rPr>
              <w:t>8</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液压煨管机</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φ15-80mm</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2015</w:t>
            </w: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0.2</w:t>
            </w: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1</w:t>
            </w:r>
            <w:r>
              <w:rPr>
                <w:rFonts w:hint="eastAsia" w:hAnsi="宋体" w:cs="宋体"/>
                <w:sz w:val="21"/>
                <w:szCs w:val="21"/>
                <w:lang w:val="en-US" w:eastAsia="zh-CN"/>
              </w:rPr>
              <w:t>9</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手动煨管器</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φ15</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16</w:t>
            </w:r>
            <w:r>
              <w:rPr>
                <w:rFonts w:ascii="宋体" w:hAnsi="宋体" w:eastAsia="宋体" w:cs="宋体"/>
                <w:sz w:val="21"/>
                <w:szCs w:val="21"/>
              </w:rPr>
              <w:t>把</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hint="eastAsia" w:hAnsi="宋体" w:cs="宋体"/>
                <w:sz w:val="21"/>
                <w:szCs w:val="21"/>
                <w:lang w:val="en-US" w:eastAsia="zh-CN"/>
              </w:rPr>
              <w:t>20</w:t>
            </w:r>
          </w:p>
        </w:tc>
        <w:tc>
          <w:tcPr>
            <w:tcW w:w="166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bidi="ar-SA"/>
              </w:rPr>
            </w:pPr>
            <w:r>
              <w:rPr>
                <w:rFonts w:hint="eastAsia" w:hAnsi="宋体" w:cs="宋体"/>
                <w:sz w:val="21"/>
                <w:szCs w:val="21"/>
                <w:lang w:val="en-US" w:eastAsia="zh-CN"/>
              </w:rPr>
              <w:t>丝锥</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1/2”~3”</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16</w:t>
            </w:r>
            <w:r>
              <w:rPr>
                <w:rFonts w:ascii="宋体" w:hAnsi="宋体" w:eastAsia="宋体" w:cs="宋体"/>
                <w:sz w:val="21"/>
                <w:szCs w:val="21"/>
              </w:rPr>
              <w:t>套</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bidi="ar-SA"/>
              </w:rPr>
            </w:pPr>
            <w:r>
              <w:rPr>
                <w:rFonts w:hint="eastAsia" w:hAnsi="宋体" w:cs="宋体"/>
                <w:sz w:val="21"/>
                <w:szCs w:val="21"/>
                <w:lang w:val="en-US" w:eastAsia="zh-CN"/>
              </w:rPr>
              <w:t>21</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钢筋剪刀</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600mm</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把</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2</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台钻</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φ3-14mm</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3</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台虎钳</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6”</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4</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玻璃钢</w:t>
            </w:r>
            <w:r>
              <w:rPr>
                <w:rFonts w:hint="default" w:ascii="宋体" w:hAnsi="宋体" w:eastAsia="宋体" w:cs="宋体"/>
                <w:sz w:val="21"/>
                <w:szCs w:val="21"/>
              </w:rPr>
              <w:t>穿线器</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φ11</w:t>
            </w:r>
            <w:r>
              <w:rPr>
                <w:rFonts w:hint="default" w:ascii="宋体" w:hAnsi="宋体" w:eastAsia="宋体" w:cs="宋体"/>
                <w:sz w:val="21"/>
                <w:szCs w:val="21"/>
              </w:rPr>
              <w:t>×</w:t>
            </w:r>
            <w:r>
              <w:rPr>
                <w:rFonts w:ascii="宋体" w:hAnsi="宋体" w:eastAsia="宋体" w:cs="宋体"/>
                <w:sz w:val="21"/>
                <w:szCs w:val="21"/>
              </w:rPr>
              <w:t>100m</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敷管</w:t>
            </w:r>
            <w:r>
              <w:rPr>
                <w:rFonts w:hint="eastAsia" w:hAnsi="宋体" w:cs="宋体"/>
                <w:sz w:val="21"/>
                <w:szCs w:val="21"/>
                <w:lang w:eastAsia="zh-CN"/>
              </w:rPr>
              <w:t>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5</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直流稳压电源</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PAC35-3</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hint="eastAsia" w:hAnsi="宋体" w:cs="宋体"/>
                <w:sz w:val="21"/>
                <w:szCs w:val="21"/>
                <w:lang w:val="en-US" w:eastAsia="zh-CN"/>
              </w:rPr>
              <w:t>8</w:t>
            </w:r>
            <w:r>
              <w:rPr>
                <w:rFonts w:ascii="宋体" w:hAnsi="宋体" w:eastAsia="宋体" w:cs="宋体"/>
                <w:sz w:val="21"/>
                <w:szCs w:val="21"/>
              </w:rPr>
              <w:t>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调试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6</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hint="eastAsia" w:ascii="宋体" w:hAnsi="宋体" w:eastAsia="宋体" w:cs="宋体"/>
                <w:sz w:val="21"/>
                <w:szCs w:val="21"/>
              </w:rPr>
              <w:t>兆欧表</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hint="eastAsia" w:ascii="宋体" w:hAnsi="宋体" w:eastAsia="宋体" w:cs="宋体"/>
                <w:sz w:val="21"/>
                <w:szCs w:val="21"/>
              </w:rPr>
              <w:t>ZC25-4</w:t>
            </w:r>
          </w:p>
        </w:tc>
        <w:tc>
          <w:tcPr>
            <w:tcW w:w="75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hAnsi="宋体" w:cs="宋体"/>
                <w:sz w:val="21"/>
                <w:szCs w:val="21"/>
                <w:lang w:val="en-US" w:eastAsia="zh-CN"/>
              </w:rPr>
              <w:t>8块</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调试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7</w:t>
            </w:r>
          </w:p>
        </w:tc>
        <w:tc>
          <w:tcPr>
            <w:tcW w:w="166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ascii="宋体" w:hAnsi="宋体" w:eastAsia="宋体" w:cs="宋体"/>
                <w:sz w:val="21"/>
                <w:szCs w:val="21"/>
              </w:rPr>
              <w:t>镭射光纤测试笔</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MT-7520E-C</w:t>
            </w:r>
          </w:p>
        </w:tc>
        <w:tc>
          <w:tcPr>
            <w:tcW w:w="75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hAnsi="宋体" w:cs="宋体"/>
                <w:sz w:val="21"/>
                <w:szCs w:val="21"/>
                <w:lang w:val="en-US" w:eastAsia="zh-CN"/>
              </w:rPr>
              <w:t>8只</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调试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8</w:t>
            </w:r>
          </w:p>
        </w:tc>
        <w:tc>
          <w:tcPr>
            <w:tcW w:w="166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光纤熔接机</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hint="default" w:ascii="宋体" w:hAnsi="宋体" w:eastAsia="宋体" w:cs="宋体"/>
                <w:sz w:val="21"/>
                <w:szCs w:val="21"/>
              </w:rPr>
              <w:t>TEKCN TC-600i</w:t>
            </w:r>
          </w:p>
        </w:tc>
        <w:tc>
          <w:tcPr>
            <w:tcW w:w="75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hAnsi="宋体" w:cs="宋体"/>
                <w:sz w:val="21"/>
                <w:szCs w:val="21"/>
                <w:lang w:val="en-US" w:eastAsia="zh-CN"/>
              </w:rPr>
              <w:t>3台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bidi="ar-SA"/>
              </w:rPr>
            </w:pPr>
            <w:r>
              <w:rPr>
                <w:rFonts w:ascii="宋体" w:hAnsi="宋体" w:eastAsia="宋体" w:cs="宋体"/>
                <w:sz w:val="21"/>
                <w:szCs w:val="21"/>
              </w:rPr>
              <w:t>调试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bidi="ar-SA"/>
              </w:rPr>
            </w:pPr>
            <w:r>
              <w:rPr>
                <w:rFonts w:ascii="宋体" w:hAnsi="宋体" w:eastAsia="宋体" w:cs="宋体"/>
                <w:sz w:val="21"/>
                <w:szCs w:val="21"/>
              </w:rPr>
              <w:t>2</w:t>
            </w:r>
            <w:r>
              <w:rPr>
                <w:rFonts w:hint="eastAsia" w:hAnsi="宋体" w:cs="宋体"/>
                <w:sz w:val="21"/>
                <w:szCs w:val="21"/>
                <w:lang w:val="en-US" w:eastAsia="zh-CN"/>
              </w:rPr>
              <w:t>9</w:t>
            </w:r>
          </w:p>
        </w:tc>
        <w:tc>
          <w:tcPr>
            <w:tcW w:w="1660"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rPr>
            </w:pPr>
            <w:r>
              <w:rPr>
                <w:rFonts w:ascii="宋体" w:hAnsi="宋体" w:eastAsia="宋体" w:cs="宋体"/>
                <w:sz w:val="21"/>
                <w:szCs w:val="21"/>
              </w:rPr>
              <w:t>福禄克测试</w:t>
            </w:r>
            <w:r>
              <w:rPr>
                <w:rFonts w:hint="eastAsia" w:ascii="宋体" w:hAnsi="宋体" w:eastAsia="宋体" w:cs="宋体"/>
                <w:sz w:val="21"/>
                <w:szCs w:val="21"/>
                <w:lang w:val="en-US" w:eastAsia="zh-CN"/>
              </w:rPr>
              <w:t>仪</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DSX2-5000</w:t>
            </w:r>
          </w:p>
        </w:tc>
        <w:tc>
          <w:tcPr>
            <w:tcW w:w="75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3台</w:t>
            </w:r>
          </w:p>
        </w:tc>
        <w:tc>
          <w:tcPr>
            <w:tcW w:w="73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中国</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调试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hAnsi="宋体" w:cs="宋体"/>
                <w:sz w:val="21"/>
                <w:szCs w:val="21"/>
                <w:lang w:val="en-US" w:eastAsia="zh-CN"/>
              </w:rPr>
              <w:t>30</w:t>
            </w:r>
          </w:p>
        </w:tc>
        <w:tc>
          <w:tcPr>
            <w:tcW w:w="1660" w:type="dxa"/>
            <w:vAlign w:val="top"/>
          </w:tcPr>
          <w:p>
            <w:pPr>
              <w:spacing w:before="147" w:line="240" w:lineRule="auto"/>
              <w:ind w:left="0" w:lef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调试笔记本</w:t>
            </w:r>
          </w:p>
        </w:tc>
        <w:tc>
          <w:tcPr>
            <w:tcW w:w="1429"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E14 Gen3</w:t>
            </w:r>
          </w:p>
        </w:tc>
        <w:tc>
          <w:tcPr>
            <w:tcW w:w="75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hint="eastAsia" w:ascii="宋体" w:hAnsi="宋体" w:eastAsia="宋体" w:cs="宋体"/>
                <w:sz w:val="21"/>
                <w:szCs w:val="21"/>
                <w:lang w:val="en-US" w:eastAsia="zh-CN"/>
              </w:rPr>
              <w:t>2台</w:t>
            </w:r>
          </w:p>
        </w:tc>
        <w:tc>
          <w:tcPr>
            <w:tcW w:w="730" w:type="dxa"/>
            <w:vAlign w:val="top"/>
          </w:tcPr>
          <w:p>
            <w:pPr>
              <w:spacing w:before="147" w:line="240" w:lineRule="auto"/>
              <w:ind w:left="0" w:leftChars="0"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联想</w:t>
            </w:r>
          </w:p>
        </w:tc>
        <w:tc>
          <w:tcPr>
            <w:tcW w:w="710"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p>
        </w:tc>
        <w:tc>
          <w:tcPr>
            <w:tcW w:w="868"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p>
        </w:tc>
        <w:tc>
          <w:tcPr>
            <w:tcW w:w="73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良好</w:t>
            </w:r>
          </w:p>
        </w:tc>
        <w:tc>
          <w:tcPr>
            <w:tcW w:w="871" w:type="dxa"/>
            <w:vAlign w:val="top"/>
          </w:tcPr>
          <w:p>
            <w:pPr>
              <w:spacing w:before="147" w:line="240" w:lineRule="auto"/>
              <w:ind w:left="0" w:leftChars="0" w:firstLine="0" w:firstLineChars="0"/>
              <w:jc w:val="center"/>
              <w:rPr>
                <w:rFonts w:ascii="宋体" w:hAnsi="宋体" w:eastAsia="宋体" w:cs="宋体"/>
                <w:sz w:val="21"/>
                <w:szCs w:val="21"/>
                <w:lang w:val="en-US" w:eastAsia="zh-CN"/>
              </w:rPr>
            </w:pPr>
            <w:r>
              <w:rPr>
                <w:rFonts w:ascii="宋体" w:hAnsi="宋体" w:eastAsia="宋体" w:cs="宋体"/>
                <w:sz w:val="21"/>
                <w:szCs w:val="21"/>
              </w:rPr>
              <w:t>调试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7" w:type="dxa"/>
            <w:vAlign w:val="center"/>
          </w:tcPr>
          <w:p>
            <w:pPr>
              <w:spacing w:before="147" w:line="240" w:lineRule="auto"/>
              <w:ind w:left="0" w:leftChars="0" w:firstLine="0" w:firstLineChars="0"/>
              <w:jc w:val="center"/>
              <w:rPr>
                <w:rFonts w:hint="default" w:hAnsi="宋体" w:cs="宋体"/>
                <w:sz w:val="21"/>
                <w:szCs w:val="21"/>
                <w:lang w:val="en-US" w:eastAsia="zh-CN"/>
              </w:rPr>
            </w:pPr>
            <w:r>
              <w:rPr>
                <w:rFonts w:hint="eastAsia" w:hAnsi="宋体" w:cs="宋体"/>
                <w:sz w:val="21"/>
                <w:szCs w:val="21"/>
                <w:lang w:val="en-US" w:eastAsia="zh-CN"/>
              </w:rPr>
              <w:t>31</w:t>
            </w:r>
          </w:p>
        </w:tc>
        <w:tc>
          <w:tcPr>
            <w:tcW w:w="1660" w:type="dxa"/>
            <w:vAlign w:val="center"/>
          </w:tcPr>
          <w:p>
            <w:pPr>
              <w:spacing w:before="147" w:line="240" w:lineRule="auto"/>
              <w:ind w:left="0" w:leftChars="0" w:firstLine="0" w:firstLineChars="0"/>
              <w:jc w:val="center"/>
              <w:rPr>
                <w:rFonts w:hint="eastAsia" w:hAnsi="宋体" w:cs="宋体"/>
                <w:sz w:val="21"/>
                <w:szCs w:val="21"/>
                <w:lang w:val="en-US" w:eastAsia="zh-CN"/>
              </w:rPr>
            </w:pPr>
            <w:r>
              <w:rPr>
                <w:rFonts w:hint="eastAsia" w:hAnsi="宋体" w:cs="宋体"/>
                <w:sz w:val="21"/>
                <w:szCs w:val="21"/>
                <w:lang w:val="en-US" w:eastAsia="zh-CN"/>
              </w:rPr>
              <w:t>装修工具包</w:t>
            </w:r>
          </w:p>
        </w:tc>
        <w:tc>
          <w:tcPr>
            <w:tcW w:w="1429" w:type="dxa"/>
            <w:vAlign w:val="center"/>
          </w:tcPr>
          <w:p>
            <w:pPr>
              <w:spacing w:before="147" w:line="240" w:lineRule="auto"/>
              <w:ind w:left="0" w:leftChars="0" w:firstLine="0" w:firstLineChars="0"/>
              <w:jc w:val="center"/>
              <w:rPr>
                <w:rFonts w:hint="eastAsia" w:hAnsi="宋体" w:cs="宋体"/>
                <w:sz w:val="21"/>
                <w:szCs w:val="21"/>
                <w:lang w:val="en-US" w:eastAsia="zh-CN"/>
              </w:rPr>
            </w:pPr>
            <w:r>
              <w:rPr>
                <w:rFonts w:hint="eastAsia" w:hAnsi="宋体" w:cs="宋体"/>
                <w:sz w:val="21"/>
                <w:szCs w:val="21"/>
                <w:lang w:val="en-US" w:eastAsia="zh-CN"/>
              </w:rPr>
              <w:t>水平仪、滚筒刷、墨斗、射钉枪、电锤、角磨机、电动打磨机、修边机、木工桌、推台锯、工业吸尘器、各种配件</w:t>
            </w:r>
          </w:p>
        </w:tc>
        <w:tc>
          <w:tcPr>
            <w:tcW w:w="750" w:type="dxa"/>
            <w:vAlign w:val="center"/>
          </w:tcPr>
          <w:p>
            <w:pPr>
              <w:spacing w:before="147" w:line="240" w:lineRule="auto"/>
              <w:ind w:left="0" w:leftChars="0" w:firstLine="0" w:firstLineChars="0"/>
              <w:jc w:val="center"/>
              <w:rPr>
                <w:rFonts w:hint="default" w:hAnsi="宋体" w:cs="宋体"/>
                <w:sz w:val="21"/>
                <w:szCs w:val="21"/>
                <w:lang w:val="en-US" w:eastAsia="zh-CN"/>
              </w:rPr>
            </w:pPr>
            <w:r>
              <w:rPr>
                <w:rFonts w:hint="eastAsia" w:hAnsi="宋体" w:cs="宋体"/>
                <w:sz w:val="21"/>
                <w:szCs w:val="21"/>
                <w:lang w:val="en-US" w:eastAsia="zh-CN"/>
              </w:rPr>
              <w:t>2套</w:t>
            </w:r>
          </w:p>
        </w:tc>
        <w:tc>
          <w:tcPr>
            <w:tcW w:w="730" w:type="dxa"/>
            <w:vAlign w:val="center"/>
          </w:tcPr>
          <w:p>
            <w:pPr>
              <w:spacing w:before="147" w:line="240" w:lineRule="auto"/>
              <w:ind w:left="0" w:leftChars="0" w:firstLine="0" w:firstLineChars="0"/>
              <w:jc w:val="center"/>
              <w:rPr>
                <w:rFonts w:hint="eastAsia" w:hAnsi="宋体" w:cs="宋体"/>
                <w:sz w:val="21"/>
                <w:szCs w:val="21"/>
                <w:lang w:val="en-US" w:eastAsia="zh-CN"/>
              </w:rPr>
            </w:pPr>
            <w:r>
              <w:rPr>
                <w:rFonts w:hint="eastAsia" w:hAnsi="宋体" w:cs="宋体"/>
                <w:sz w:val="21"/>
                <w:szCs w:val="21"/>
                <w:lang w:val="en-US" w:eastAsia="zh-CN"/>
              </w:rPr>
              <w:t>中国</w:t>
            </w:r>
          </w:p>
        </w:tc>
        <w:tc>
          <w:tcPr>
            <w:tcW w:w="710" w:type="dxa"/>
            <w:vAlign w:val="center"/>
          </w:tcPr>
          <w:p>
            <w:pPr>
              <w:spacing w:before="147" w:line="240" w:lineRule="auto"/>
              <w:ind w:left="0" w:leftChars="0" w:firstLine="0" w:firstLineChars="0"/>
              <w:jc w:val="center"/>
              <w:rPr>
                <w:rFonts w:hint="eastAsia" w:hAnsi="宋体" w:cs="宋体"/>
                <w:sz w:val="21"/>
                <w:szCs w:val="21"/>
                <w:lang w:val="en-US" w:eastAsia="zh-CN"/>
              </w:rPr>
            </w:pPr>
          </w:p>
        </w:tc>
        <w:tc>
          <w:tcPr>
            <w:tcW w:w="868" w:type="dxa"/>
            <w:vAlign w:val="center"/>
          </w:tcPr>
          <w:p>
            <w:pPr>
              <w:spacing w:before="147" w:line="240" w:lineRule="auto"/>
              <w:ind w:left="0" w:leftChars="0" w:firstLine="0" w:firstLineChars="0"/>
              <w:jc w:val="center"/>
              <w:rPr>
                <w:rFonts w:hint="eastAsia" w:hAnsi="宋体" w:cs="宋体"/>
                <w:sz w:val="21"/>
                <w:szCs w:val="21"/>
                <w:lang w:val="en-US" w:eastAsia="zh-CN"/>
              </w:rPr>
            </w:pPr>
          </w:p>
        </w:tc>
        <w:tc>
          <w:tcPr>
            <w:tcW w:w="731" w:type="dxa"/>
            <w:vAlign w:val="center"/>
          </w:tcPr>
          <w:p>
            <w:pPr>
              <w:spacing w:before="147" w:line="240" w:lineRule="auto"/>
              <w:ind w:left="0" w:leftChars="0" w:firstLine="0" w:firstLineChars="0"/>
              <w:jc w:val="center"/>
              <w:rPr>
                <w:rFonts w:hint="eastAsia" w:hAnsi="宋体" w:cs="宋体"/>
                <w:sz w:val="21"/>
                <w:szCs w:val="21"/>
                <w:lang w:val="en-US" w:eastAsia="zh-CN"/>
              </w:rPr>
            </w:pPr>
            <w:r>
              <w:rPr>
                <w:rFonts w:hint="eastAsia" w:hAnsi="宋体" w:cs="宋体"/>
                <w:sz w:val="21"/>
                <w:szCs w:val="21"/>
                <w:lang w:val="en-US" w:eastAsia="zh-CN"/>
              </w:rPr>
              <w:t>良好</w:t>
            </w:r>
          </w:p>
        </w:tc>
        <w:tc>
          <w:tcPr>
            <w:tcW w:w="871" w:type="dxa"/>
            <w:vAlign w:val="center"/>
          </w:tcPr>
          <w:p>
            <w:pPr>
              <w:spacing w:before="147" w:line="240" w:lineRule="auto"/>
              <w:ind w:left="0" w:leftChars="0" w:firstLine="0" w:firstLineChars="0"/>
              <w:jc w:val="center"/>
              <w:rPr>
                <w:rFonts w:hint="default" w:hAnsi="宋体" w:cs="宋体"/>
                <w:sz w:val="21"/>
                <w:szCs w:val="21"/>
                <w:lang w:val="en-US" w:eastAsia="zh-CN"/>
              </w:rPr>
            </w:pPr>
            <w:r>
              <w:rPr>
                <w:rFonts w:hint="eastAsia" w:hAnsi="宋体" w:cs="宋体"/>
                <w:sz w:val="21"/>
                <w:szCs w:val="21"/>
                <w:lang w:val="en-US" w:eastAsia="zh-CN"/>
              </w:rPr>
              <w:t>装修</w:t>
            </w:r>
          </w:p>
        </w:tc>
      </w:tr>
    </w:tbl>
    <w:p>
      <w:pPr>
        <w:spacing w:line="360" w:lineRule="auto"/>
        <w:ind w:firstLine="480" w:firstLineChars="200"/>
        <w:rPr>
          <w:rFonts w:ascii="宋体" w:hAnsi="宋体" w:cs="Arial"/>
          <w:sz w:val="24"/>
        </w:rPr>
      </w:pPr>
    </w:p>
    <w:p>
      <w:pPr>
        <w:pStyle w:val="4"/>
        <w:numPr>
          <w:ilvl w:val="0"/>
          <w:numId w:val="27"/>
        </w:numPr>
        <w:rPr>
          <w:rFonts w:hint="eastAsia" w:ascii="宋体" w:hAnsi="宋体"/>
          <w:sz w:val="28"/>
          <w:szCs w:val="28"/>
        </w:rPr>
      </w:pPr>
      <w:bookmarkStart w:id="160" w:name="_Toc12392"/>
      <w:bookmarkStart w:id="161" w:name="_Toc15184"/>
      <w:bookmarkStart w:id="162" w:name="_Toc26245"/>
      <w:bookmarkStart w:id="163" w:name="_Toc705"/>
      <w:bookmarkStart w:id="164" w:name="_Toc21884"/>
      <w:r>
        <w:rPr>
          <w:rFonts w:cs="Arial"/>
          <w:bCs w:val="0"/>
          <w:color w:val="000000"/>
          <w:sz w:val="28"/>
          <w:szCs w:val="28"/>
        </w:rPr>
        <w:t>其它方面的准备</w:t>
      </w:r>
      <w:bookmarkEnd w:id="160"/>
      <w:bookmarkEnd w:id="161"/>
      <w:bookmarkEnd w:id="162"/>
      <w:bookmarkEnd w:id="163"/>
      <w:bookmarkEnd w:id="164"/>
    </w:p>
    <w:p>
      <w:pPr>
        <w:spacing w:line="360" w:lineRule="auto"/>
        <w:ind w:firstLine="480" w:firstLineChars="200"/>
        <w:rPr>
          <w:rFonts w:ascii="宋体" w:hAnsi="宋体" w:cs="Arial"/>
          <w:color w:val="000000"/>
          <w:sz w:val="24"/>
        </w:rPr>
      </w:pPr>
      <w:r>
        <w:rPr>
          <w:rFonts w:ascii="宋体" w:hAnsi="宋体" w:cs="Arial"/>
          <w:color w:val="000000"/>
          <w:sz w:val="24"/>
        </w:rPr>
        <w:t>由于工期紧，与其它相关专业还有大量协调工作要做，故请甲方协调</w:t>
      </w:r>
      <w:r>
        <w:rPr>
          <w:rFonts w:hint="eastAsia" w:hAnsi="宋体" w:cs="Arial"/>
          <w:color w:val="000000"/>
          <w:sz w:val="24"/>
          <w:lang w:val="en-US" w:eastAsia="zh-CN"/>
        </w:rPr>
        <w:t>市政</w:t>
      </w:r>
      <w:r>
        <w:rPr>
          <w:rFonts w:ascii="宋体" w:hAnsi="宋体" w:cs="Arial"/>
          <w:color w:val="000000"/>
          <w:sz w:val="24"/>
        </w:rPr>
        <w:t>、</w:t>
      </w:r>
      <w:r>
        <w:rPr>
          <w:rFonts w:hint="eastAsia" w:hAnsi="宋体" w:cs="Arial"/>
          <w:color w:val="000000"/>
          <w:sz w:val="24"/>
          <w:lang w:val="en-US" w:eastAsia="zh-CN"/>
        </w:rPr>
        <w:t>电力</w:t>
      </w:r>
      <w:r>
        <w:rPr>
          <w:rFonts w:ascii="宋体" w:hAnsi="宋体" w:cs="Arial"/>
          <w:color w:val="000000"/>
          <w:sz w:val="24"/>
        </w:rPr>
        <w:t>、通信等部门与</w:t>
      </w:r>
      <w:r>
        <w:rPr>
          <w:rFonts w:hint="eastAsia" w:hAnsi="宋体" w:cs="Arial"/>
          <w:color w:val="000000"/>
          <w:sz w:val="24"/>
          <w:lang w:val="en-US" w:eastAsia="zh-CN"/>
        </w:rPr>
        <w:t>工程施工</w:t>
      </w:r>
      <w:r>
        <w:rPr>
          <w:rFonts w:ascii="宋体" w:hAnsi="宋体" w:cs="Arial"/>
          <w:color w:val="000000"/>
          <w:sz w:val="24"/>
        </w:rPr>
        <w:t>的协作配合上给予支持。</w:t>
      </w:r>
    </w:p>
    <w:p>
      <w:pPr>
        <w:pStyle w:val="2"/>
        <w:numPr>
          <w:ilvl w:val="0"/>
          <w:numId w:val="2"/>
        </w:numPr>
        <w:jc w:val="center"/>
        <w:rPr>
          <w:rFonts w:hint="eastAsia" w:cs="Arial"/>
          <w:bCs w:val="0"/>
          <w:color w:val="000000"/>
          <w:sz w:val="32"/>
          <w:szCs w:val="32"/>
        </w:rPr>
      </w:pPr>
      <w:bookmarkStart w:id="165" w:name="_Toc93674461"/>
      <w:r>
        <w:rPr>
          <w:rFonts w:cs="Arial"/>
          <w:bCs w:val="0"/>
          <w:color w:val="000000"/>
          <w:sz w:val="32"/>
          <w:szCs w:val="32"/>
        </w:rPr>
        <w:br w:type="page"/>
      </w:r>
      <w:bookmarkStart w:id="166" w:name="_Toc16096"/>
      <w:bookmarkStart w:id="167" w:name="_Toc3192"/>
      <w:bookmarkStart w:id="168" w:name="_Toc15930"/>
      <w:bookmarkStart w:id="169" w:name="_Toc31874"/>
      <w:bookmarkStart w:id="170" w:name="_Toc2991"/>
      <w:r>
        <w:rPr>
          <w:rFonts w:cs="Arial"/>
          <w:bCs w:val="0"/>
          <w:color w:val="000000"/>
          <w:sz w:val="32"/>
          <w:szCs w:val="32"/>
        </w:rPr>
        <w:t>施工管理及工序</w:t>
      </w:r>
      <w:bookmarkEnd w:id="165"/>
      <w:bookmarkEnd w:id="166"/>
      <w:bookmarkEnd w:id="167"/>
      <w:bookmarkEnd w:id="168"/>
      <w:bookmarkEnd w:id="169"/>
      <w:bookmarkEnd w:id="170"/>
    </w:p>
    <w:p>
      <w:pPr>
        <w:pStyle w:val="3"/>
        <w:numPr>
          <w:ilvl w:val="1"/>
          <w:numId w:val="2"/>
        </w:numPr>
        <w:rPr>
          <w:rFonts w:hint="eastAsia" w:ascii="宋体" w:hAnsi="宋体" w:eastAsia="宋体"/>
          <w:sz w:val="30"/>
          <w:szCs w:val="30"/>
        </w:rPr>
      </w:pPr>
      <w:bookmarkStart w:id="171" w:name="_Toc93674462"/>
      <w:bookmarkStart w:id="172" w:name="_Toc2546"/>
      <w:bookmarkStart w:id="173" w:name="_Toc27756"/>
      <w:bookmarkStart w:id="174" w:name="_Toc6976"/>
      <w:bookmarkStart w:id="175" w:name="_Toc9028"/>
      <w:bookmarkStart w:id="176" w:name="_Toc13952"/>
      <w:r>
        <w:rPr>
          <w:rFonts w:ascii="宋体" w:hAnsi="宋体" w:eastAsia="宋体" w:cs="Arial"/>
          <w:bCs w:val="0"/>
          <w:color w:val="000000"/>
          <w:sz w:val="30"/>
          <w:szCs w:val="30"/>
        </w:rPr>
        <w:t>工程实施程序</w:t>
      </w:r>
      <w:bookmarkEnd w:id="171"/>
      <w:bookmarkEnd w:id="172"/>
      <w:bookmarkEnd w:id="173"/>
      <w:bookmarkEnd w:id="174"/>
      <w:bookmarkEnd w:id="175"/>
      <w:bookmarkEnd w:id="176"/>
    </w:p>
    <w:p>
      <w:pPr>
        <w:pStyle w:val="4"/>
        <w:numPr>
          <w:ilvl w:val="1"/>
          <w:numId w:val="28"/>
        </w:numPr>
        <w:rPr>
          <w:rFonts w:hint="eastAsia" w:ascii="宋体" w:hAnsi="宋体"/>
          <w:sz w:val="28"/>
          <w:szCs w:val="28"/>
        </w:rPr>
      </w:pPr>
      <w:bookmarkStart w:id="177" w:name="_Toc8502"/>
      <w:bookmarkStart w:id="178" w:name="_Toc17649"/>
      <w:bookmarkStart w:id="179" w:name="_Toc1487"/>
      <w:bookmarkStart w:id="180" w:name="_Toc7086"/>
      <w:bookmarkStart w:id="181" w:name="_Toc22245"/>
      <w:r>
        <w:rPr>
          <w:rFonts w:ascii="宋体" w:hAnsi="宋体" w:cs="Arial"/>
          <w:color w:val="000000"/>
          <w:sz w:val="28"/>
          <w:szCs w:val="28"/>
        </w:rPr>
        <w:t>施工程序</w:t>
      </w:r>
      <w:bookmarkEnd w:id="177"/>
      <w:bookmarkEnd w:id="178"/>
      <w:bookmarkEnd w:id="179"/>
      <w:bookmarkEnd w:id="180"/>
      <w:bookmarkEnd w:id="181"/>
    </w:p>
    <w:p>
      <w:pPr>
        <w:spacing w:line="360" w:lineRule="auto"/>
        <w:ind w:firstLine="480" w:firstLineChars="200"/>
        <w:rPr>
          <w:rFonts w:hint="eastAsia" w:ascii="宋体" w:hAnsi="宋体" w:cs="Arial"/>
          <w:color w:val="000000"/>
          <w:sz w:val="24"/>
        </w:rPr>
      </w:pPr>
      <w:r>
        <w:rPr>
          <w:rFonts w:ascii="宋体" w:hAnsi="宋体" w:cs="Arial"/>
          <w:color w:val="000000"/>
          <w:sz w:val="24"/>
        </w:rPr>
        <w:t>根据</w:t>
      </w:r>
      <w:r>
        <w:rPr>
          <w:rFonts w:hint="eastAsia" w:ascii="宋体" w:hAnsi="宋体" w:cs="Arial"/>
          <w:color w:val="000000"/>
          <w:sz w:val="24"/>
        </w:rPr>
        <w:t>周至县公安局交警大队道路交通安全隐患治理</w:t>
      </w:r>
      <w:r>
        <w:rPr>
          <w:rFonts w:ascii="宋体" w:hAnsi="宋体" w:cs="Arial"/>
          <w:color w:val="000000"/>
          <w:sz w:val="24"/>
        </w:rPr>
        <w:t>工程的施工特点，施工程序可分为施工准备阶段、施工安装阶段、施工调试阶段、系统运行阶段、系统竣工验收阶段。</w:t>
      </w:r>
    </w:p>
    <w:p>
      <w:pPr>
        <w:numPr>
          <w:ilvl w:val="0"/>
          <w:numId w:val="29"/>
        </w:numPr>
        <w:spacing w:line="360" w:lineRule="auto"/>
        <w:rPr>
          <w:rFonts w:hint="eastAsia" w:ascii="宋体" w:hAnsi="宋体"/>
          <w:b/>
          <w:sz w:val="24"/>
        </w:rPr>
      </w:pPr>
      <w:r>
        <w:rPr>
          <w:rFonts w:ascii="宋体" w:hAnsi="宋体"/>
          <w:b/>
          <w:sz w:val="24"/>
        </w:rPr>
        <w:t>施工准备阶段</w:t>
      </w:r>
    </w:p>
    <w:p>
      <w:pPr>
        <w:spacing w:line="360" w:lineRule="auto"/>
        <w:ind w:firstLine="480" w:firstLineChars="200"/>
        <w:rPr>
          <w:rFonts w:hint="eastAsia" w:ascii="宋体" w:hAnsi="宋体" w:cs="Arial"/>
          <w:color w:val="000000"/>
          <w:sz w:val="24"/>
        </w:rPr>
      </w:pPr>
      <w:r>
        <w:rPr>
          <w:rFonts w:ascii="宋体" w:hAnsi="宋体" w:cs="Arial"/>
          <w:color w:val="000000"/>
          <w:sz w:val="24"/>
        </w:rPr>
        <w:t>这一阶段主要做各种施工准备工作，通过充分细致的准备工作，可为工程的施工创造良好的物质和技术条件，是施工能顺利进行的必要保证。我公司将从技术、资金、物资、人员组织、施工现场和施工场外等各方面作好充分准备。</w:t>
      </w:r>
    </w:p>
    <w:p>
      <w:pPr>
        <w:numPr>
          <w:ilvl w:val="0"/>
          <w:numId w:val="29"/>
        </w:numPr>
        <w:spacing w:line="360" w:lineRule="auto"/>
        <w:rPr>
          <w:rFonts w:hint="eastAsia" w:ascii="宋体" w:hAnsi="宋体"/>
          <w:b/>
          <w:sz w:val="24"/>
        </w:rPr>
      </w:pPr>
      <w:r>
        <w:rPr>
          <w:rFonts w:ascii="宋体" w:hAnsi="宋体"/>
          <w:b/>
          <w:sz w:val="24"/>
        </w:rPr>
        <w:t>施工安装阶段</w:t>
      </w:r>
    </w:p>
    <w:p>
      <w:pPr>
        <w:spacing w:line="360" w:lineRule="auto"/>
        <w:ind w:firstLine="480" w:firstLineChars="200"/>
        <w:rPr>
          <w:rFonts w:hint="eastAsia" w:ascii="宋体" w:hAnsi="宋体" w:cs="Arial"/>
          <w:color w:val="000000"/>
          <w:sz w:val="24"/>
        </w:rPr>
      </w:pPr>
      <w:r>
        <w:rPr>
          <w:rFonts w:ascii="宋体" w:hAnsi="宋体" w:cs="Arial"/>
          <w:color w:val="000000"/>
          <w:sz w:val="24"/>
        </w:rPr>
        <w:t>各系统施工工作铺开，进入安装高峰期。施工人员、机具、材料进场，各方面的措施都能满足施工要求，现场方面环境、交叉施工过程中要在规范化管理的基础上采用总体项目并行施工，各子系统流水作业，结合现场实际情况，实施模块化生产方式。由于</w:t>
      </w:r>
      <w:r>
        <w:rPr>
          <w:rFonts w:hint="eastAsia" w:ascii="宋体" w:hAnsi="宋体" w:cs="Arial"/>
          <w:color w:val="000000"/>
          <w:sz w:val="24"/>
        </w:rPr>
        <w:t>长安大学图文信息中心</w:t>
      </w:r>
      <w:r>
        <w:rPr>
          <w:rFonts w:ascii="宋体" w:hAnsi="宋体" w:cs="Arial"/>
          <w:color w:val="000000"/>
          <w:sz w:val="24"/>
        </w:rPr>
        <w:t>系统工程要求的工期紧，此阶段我公司将投入大量的人力物力，因此根据工程实际，建立多支施工班组，将工作量细分至每人，同时在各班组间展开安全劳动生产竞赛，充分提高工人的积极性，最大限度地合理利用劳动力资源。</w:t>
      </w:r>
    </w:p>
    <w:p>
      <w:pPr>
        <w:numPr>
          <w:ilvl w:val="0"/>
          <w:numId w:val="29"/>
        </w:numPr>
        <w:spacing w:line="360" w:lineRule="auto"/>
        <w:rPr>
          <w:rFonts w:hint="eastAsia" w:ascii="宋体" w:hAnsi="宋体"/>
          <w:b/>
          <w:sz w:val="24"/>
        </w:rPr>
      </w:pPr>
      <w:r>
        <w:rPr>
          <w:rFonts w:ascii="宋体" w:hAnsi="宋体"/>
          <w:b/>
          <w:sz w:val="24"/>
        </w:rPr>
        <w:t>系统调试阶段</w:t>
      </w:r>
    </w:p>
    <w:p>
      <w:pPr>
        <w:spacing w:line="360" w:lineRule="auto"/>
        <w:ind w:firstLine="480" w:firstLineChars="200"/>
        <w:rPr>
          <w:rFonts w:hint="eastAsia" w:ascii="宋体" w:hAnsi="宋体" w:cs="Arial"/>
          <w:color w:val="000000"/>
          <w:sz w:val="24"/>
        </w:rPr>
      </w:pPr>
      <w:r>
        <w:rPr>
          <w:rFonts w:ascii="宋体" w:hAnsi="宋体" w:cs="Arial"/>
          <w:color w:val="000000"/>
          <w:sz w:val="24"/>
        </w:rPr>
        <w:t>系统安装完成后进入系统调试阶段，对设备进行通电、调试；单机试运行；单系统调试、多系统联动调试。在调试前先拟订调试大纲报甲方、监理审批后，开始调试，开始调试时与甲方和相关单位人员联系、协调并给予解决，做好调试记录。</w:t>
      </w:r>
    </w:p>
    <w:p>
      <w:pPr>
        <w:numPr>
          <w:ilvl w:val="0"/>
          <w:numId w:val="29"/>
        </w:numPr>
        <w:spacing w:line="360" w:lineRule="auto"/>
        <w:rPr>
          <w:rFonts w:hint="eastAsia" w:ascii="宋体" w:hAnsi="宋体"/>
          <w:b/>
          <w:sz w:val="24"/>
        </w:rPr>
      </w:pPr>
      <w:r>
        <w:rPr>
          <w:rFonts w:ascii="宋体" w:hAnsi="宋体"/>
          <w:b/>
          <w:sz w:val="24"/>
        </w:rPr>
        <w:t>系统试运行阶段</w:t>
      </w:r>
    </w:p>
    <w:p>
      <w:pPr>
        <w:spacing w:line="360" w:lineRule="auto"/>
        <w:ind w:firstLine="480" w:firstLineChars="200"/>
        <w:rPr>
          <w:rFonts w:hint="eastAsia" w:ascii="宋体" w:hAnsi="宋体" w:cs="Arial"/>
          <w:color w:val="000000"/>
          <w:sz w:val="24"/>
        </w:rPr>
      </w:pPr>
      <w:r>
        <w:rPr>
          <w:rFonts w:ascii="宋体" w:hAnsi="宋体" w:cs="Arial"/>
          <w:color w:val="000000"/>
          <w:sz w:val="24"/>
        </w:rPr>
        <w:t>根据工程要求进行系统试运行测试的工作，派专人进行试运行的维护工作，并每日做好试运行测试的运行记录。保证将来有据可查。为一次验收合格、创优良工程创造条件。</w:t>
      </w:r>
    </w:p>
    <w:p>
      <w:pPr>
        <w:numPr>
          <w:ilvl w:val="0"/>
          <w:numId w:val="29"/>
        </w:numPr>
        <w:spacing w:line="360" w:lineRule="auto"/>
        <w:rPr>
          <w:rFonts w:hint="eastAsia" w:ascii="宋体" w:hAnsi="宋体"/>
          <w:b/>
          <w:sz w:val="24"/>
        </w:rPr>
      </w:pPr>
      <w:r>
        <w:rPr>
          <w:rFonts w:ascii="宋体" w:hAnsi="宋体"/>
          <w:b/>
          <w:sz w:val="24"/>
        </w:rPr>
        <w:t>系统竣工验收阶段</w:t>
      </w:r>
    </w:p>
    <w:p>
      <w:pPr>
        <w:spacing w:line="360" w:lineRule="auto"/>
        <w:ind w:firstLine="480"/>
        <w:rPr>
          <w:rFonts w:hint="eastAsia" w:ascii="宋体" w:hAnsi="宋体" w:cs="Arial"/>
          <w:color w:val="000000"/>
          <w:sz w:val="24"/>
        </w:rPr>
      </w:pPr>
      <w:r>
        <w:rPr>
          <w:rFonts w:ascii="宋体" w:hAnsi="宋体" w:cs="Arial"/>
          <w:color w:val="000000"/>
          <w:sz w:val="24"/>
        </w:rPr>
        <w:t>经自检合格后，整理好工程竣工验收资料，报甲方、监理方和质检部门验收。验收合格后，正式交付甲方使用。</w:t>
      </w:r>
    </w:p>
    <w:p>
      <w:pPr>
        <w:pStyle w:val="4"/>
        <w:numPr>
          <w:ilvl w:val="1"/>
          <w:numId w:val="28"/>
        </w:numPr>
        <w:rPr>
          <w:rFonts w:hint="eastAsia" w:ascii="宋体" w:hAnsi="宋体"/>
          <w:sz w:val="28"/>
          <w:szCs w:val="28"/>
        </w:rPr>
      </w:pPr>
      <w:bookmarkStart w:id="182" w:name="_Toc7742"/>
      <w:bookmarkStart w:id="183" w:name="_Toc22581"/>
      <w:bookmarkStart w:id="184" w:name="_Toc30798"/>
      <w:bookmarkStart w:id="185" w:name="_Toc93674463"/>
      <w:bookmarkStart w:id="186" w:name="_Toc28000"/>
      <w:bookmarkStart w:id="187" w:name="_Toc23955"/>
      <w:r>
        <w:rPr>
          <w:rFonts w:ascii="宋体" w:hAnsi="宋体" w:cs="Arial"/>
          <w:bCs w:val="0"/>
          <w:color w:val="000000"/>
          <w:sz w:val="28"/>
          <w:szCs w:val="28"/>
        </w:rPr>
        <w:t>现场配合和协调</w:t>
      </w:r>
      <w:bookmarkEnd w:id="182"/>
      <w:bookmarkEnd w:id="183"/>
      <w:bookmarkEnd w:id="184"/>
      <w:bookmarkEnd w:id="185"/>
      <w:bookmarkEnd w:id="186"/>
      <w:bookmarkEnd w:id="187"/>
    </w:p>
    <w:p>
      <w:pPr>
        <w:numPr>
          <w:ilvl w:val="0"/>
          <w:numId w:val="30"/>
        </w:numPr>
        <w:spacing w:line="360" w:lineRule="auto"/>
        <w:rPr>
          <w:rFonts w:hint="eastAsia" w:ascii="宋体" w:hAnsi="宋体"/>
          <w:b/>
          <w:sz w:val="24"/>
        </w:rPr>
      </w:pPr>
      <w:r>
        <w:rPr>
          <w:rFonts w:ascii="宋体" w:hAnsi="宋体"/>
          <w:b/>
          <w:sz w:val="24"/>
        </w:rPr>
        <w:t>与</w:t>
      </w:r>
      <w:r>
        <w:rPr>
          <w:rFonts w:hint="eastAsia" w:hAnsi="宋体"/>
          <w:b/>
          <w:sz w:val="24"/>
          <w:lang w:val="en-US" w:eastAsia="zh-CN"/>
        </w:rPr>
        <w:t>甲</w:t>
      </w:r>
      <w:r>
        <w:rPr>
          <w:rFonts w:hint="eastAsia" w:ascii="宋体" w:hAnsi="宋体"/>
          <w:b/>
          <w:sz w:val="24"/>
        </w:rPr>
        <w:t>方</w:t>
      </w:r>
      <w:r>
        <w:rPr>
          <w:rFonts w:ascii="宋体" w:hAnsi="宋体"/>
          <w:b/>
          <w:sz w:val="24"/>
        </w:rPr>
        <w:t>的协调配合</w:t>
      </w:r>
    </w:p>
    <w:p>
      <w:pPr>
        <w:numPr>
          <w:ilvl w:val="0"/>
          <w:numId w:val="31"/>
        </w:numPr>
        <w:spacing w:line="360" w:lineRule="auto"/>
        <w:rPr>
          <w:rFonts w:hint="eastAsia" w:ascii="宋体" w:hAnsi="宋体" w:cs="Arial"/>
          <w:color w:val="000000"/>
          <w:sz w:val="24"/>
        </w:rPr>
      </w:pPr>
      <w:r>
        <w:rPr>
          <w:rFonts w:ascii="宋体" w:hAnsi="宋体" w:cs="Arial"/>
          <w:color w:val="000000"/>
          <w:sz w:val="24"/>
        </w:rPr>
        <w:t>企业依存于客户，我公司在整个监控系统工程实施进程中，始终把理解客户当前和未来的需求，满足客户要求并争取超越客户期望为服务宗旨。在工程实施过程中与甲方紧密配合。</w:t>
      </w:r>
    </w:p>
    <w:p>
      <w:pPr>
        <w:numPr>
          <w:ilvl w:val="0"/>
          <w:numId w:val="31"/>
        </w:numPr>
        <w:spacing w:line="360" w:lineRule="auto"/>
        <w:rPr>
          <w:rFonts w:ascii="宋体" w:hAnsi="宋体" w:cs="Arial"/>
          <w:color w:val="000000"/>
          <w:sz w:val="24"/>
        </w:rPr>
      </w:pPr>
      <w:r>
        <w:rPr>
          <w:rFonts w:hint="eastAsia" w:ascii="宋体" w:hAnsi="宋体"/>
          <w:color w:val="000000"/>
          <w:sz w:val="24"/>
        </w:rPr>
        <w:t>以技术文件和工作联系函的形式将弱电工程将与其它安装工程所需要联动的内容与总包方和其它安装工程单位取得联系，并配合甲方与各相关单位进行相应的技术交底，使各单位在施工过程中清楚与</w:t>
      </w:r>
      <w:r>
        <w:rPr>
          <w:rFonts w:hint="eastAsia" w:hAnsi="宋体"/>
          <w:color w:val="000000"/>
          <w:sz w:val="24"/>
          <w:lang w:val="en-US" w:eastAsia="zh-CN"/>
        </w:rPr>
        <w:t>工程</w:t>
      </w:r>
      <w:r>
        <w:rPr>
          <w:rFonts w:hint="eastAsia" w:ascii="宋体" w:hAnsi="宋体"/>
          <w:color w:val="000000"/>
          <w:sz w:val="24"/>
        </w:rPr>
        <w:t>有关的内容和如何预留配合，避免事后重复施工。</w:t>
      </w:r>
    </w:p>
    <w:p>
      <w:pPr>
        <w:numPr>
          <w:ilvl w:val="0"/>
          <w:numId w:val="31"/>
        </w:numPr>
        <w:spacing w:line="360" w:lineRule="auto"/>
        <w:rPr>
          <w:rFonts w:hint="eastAsia" w:ascii="宋体" w:hAnsi="宋体" w:cs="Arial"/>
          <w:color w:val="000000"/>
          <w:sz w:val="24"/>
        </w:rPr>
      </w:pPr>
      <w:r>
        <w:rPr>
          <w:rFonts w:ascii="宋体" w:hAnsi="宋体" w:cs="Arial"/>
          <w:color w:val="000000"/>
          <w:sz w:val="24"/>
        </w:rPr>
        <w:t>指派负责人在施工现场参加甲方单位召开的一切会议，</w:t>
      </w:r>
      <w:r>
        <w:rPr>
          <w:rFonts w:hint="eastAsia" w:ascii="宋体" w:hAnsi="宋体" w:cs="Arial"/>
          <w:color w:val="000000"/>
          <w:sz w:val="24"/>
        </w:rPr>
        <w:t>听</w:t>
      </w:r>
      <w:r>
        <w:rPr>
          <w:rFonts w:ascii="宋体" w:hAnsi="宋体" w:cs="Arial"/>
          <w:color w:val="000000"/>
          <w:sz w:val="24"/>
        </w:rPr>
        <w:t>取甲方指令、意见，并认真执行。</w:t>
      </w:r>
    </w:p>
    <w:p>
      <w:pPr>
        <w:numPr>
          <w:ilvl w:val="0"/>
          <w:numId w:val="31"/>
        </w:numPr>
        <w:spacing w:line="360" w:lineRule="auto"/>
        <w:rPr>
          <w:rFonts w:ascii="宋体" w:hAnsi="宋体" w:cs="Arial"/>
          <w:color w:val="000000"/>
          <w:sz w:val="24"/>
        </w:rPr>
      </w:pPr>
      <w:r>
        <w:rPr>
          <w:rFonts w:ascii="宋体" w:hAnsi="宋体" w:cs="Arial"/>
          <w:color w:val="000000"/>
          <w:sz w:val="24"/>
        </w:rPr>
        <w:t>及时交流信息，紧密配合建设单位在工程实施过程中地切活动。</w:t>
      </w:r>
    </w:p>
    <w:p>
      <w:pPr>
        <w:numPr>
          <w:ilvl w:val="0"/>
          <w:numId w:val="31"/>
        </w:numPr>
        <w:spacing w:line="360" w:lineRule="auto"/>
        <w:rPr>
          <w:rFonts w:ascii="宋体" w:hAnsi="宋体" w:cs="Arial"/>
          <w:color w:val="000000"/>
          <w:sz w:val="24"/>
        </w:rPr>
      </w:pPr>
      <w:r>
        <w:rPr>
          <w:rFonts w:ascii="宋体" w:hAnsi="宋体" w:cs="Arial"/>
          <w:color w:val="000000"/>
          <w:sz w:val="24"/>
        </w:rPr>
        <w:t>认真对待甲方的需求变化，并积极协商解决方法，最大限度的满足客户需求，不贻误施工时机。</w:t>
      </w:r>
    </w:p>
    <w:p>
      <w:pPr>
        <w:numPr>
          <w:ilvl w:val="0"/>
          <w:numId w:val="31"/>
        </w:numPr>
        <w:spacing w:line="360" w:lineRule="auto"/>
        <w:rPr>
          <w:rFonts w:hint="eastAsia" w:ascii="宋体" w:hAnsi="宋体" w:cs="Arial"/>
          <w:color w:val="000000"/>
          <w:sz w:val="24"/>
        </w:rPr>
      </w:pPr>
      <w:r>
        <w:rPr>
          <w:rFonts w:ascii="宋体" w:hAnsi="宋体" w:cs="Arial"/>
          <w:color w:val="000000"/>
          <w:sz w:val="24"/>
        </w:rPr>
        <w:t>及时向甲方通报施工中出现的问题和需求，并通过协商寻求解决办法。</w:t>
      </w:r>
    </w:p>
    <w:p>
      <w:pPr>
        <w:numPr>
          <w:ilvl w:val="0"/>
          <w:numId w:val="30"/>
        </w:numPr>
        <w:spacing w:line="360" w:lineRule="auto"/>
        <w:rPr>
          <w:rFonts w:hint="eastAsia" w:ascii="宋体" w:hAnsi="宋体"/>
          <w:b/>
          <w:sz w:val="24"/>
        </w:rPr>
      </w:pPr>
      <w:r>
        <w:rPr>
          <w:rFonts w:ascii="宋体" w:hAnsi="宋体"/>
          <w:b/>
          <w:sz w:val="24"/>
        </w:rPr>
        <w:t>与监理的协调配合</w:t>
      </w:r>
    </w:p>
    <w:p>
      <w:pPr>
        <w:numPr>
          <w:ilvl w:val="0"/>
          <w:numId w:val="32"/>
        </w:numPr>
        <w:spacing w:line="360" w:lineRule="auto"/>
        <w:rPr>
          <w:rFonts w:ascii="宋体" w:hAnsi="宋体" w:cs="Arial"/>
          <w:color w:val="000000"/>
          <w:sz w:val="24"/>
        </w:rPr>
      </w:pPr>
      <w:r>
        <w:rPr>
          <w:rFonts w:ascii="宋体" w:hAnsi="宋体" w:cs="Arial"/>
          <w:color w:val="000000"/>
          <w:sz w:val="24"/>
        </w:rPr>
        <w:t>参加监理会议，听取监理意见，认真切实的执行。</w:t>
      </w:r>
    </w:p>
    <w:p>
      <w:pPr>
        <w:numPr>
          <w:ilvl w:val="0"/>
          <w:numId w:val="32"/>
        </w:numPr>
        <w:spacing w:line="360" w:lineRule="auto"/>
        <w:rPr>
          <w:rFonts w:ascii="宋体" w:hAnsi="宋体" w:cs="Arial"/>
          <w:color w:val="000000"/>
          <w:sz w:val="24"/>
        </w:rPr>
      </w:pPr>
      <w:r>
        <w:rPr>
          <w:rFonts w:ascii="宋体" w:hAnsi="宋体" w:cs="Arial"/>
          <w:color w:val="000000"/>
          <w:sz w:val="24"/>
        </w:rPr>
        <w:t>及时申报工程实施中各种隐蔽报验资料、技术文件、管理文件、施工计划，协调工程建设有关各方的工作关系等。</w:t>
      </w:r>
    </w:p>
    <w:p>
      <w:pPr>
        <w:numPr>
          <w:ilvl w:val="0"/>
          <w:numId w:val="32"/>
        </w:numPr>
        <w:spacing w:line="360" w:lineRule="auto"/>
        <w:rPr>
          <w:rFonts w:ascii="宋体" w:hAnsi="宋体" w:cs="Arial"/>
          <w:color w:val="000000"/>
          <w:sz w:val="24"/>
        </w:rPr>
      </w:pPr>
      <w:r>
        <w:rPr>
          <w:rFonts w:ascii="宋体" w:hAnsi="宋体" w:cs="Arial"/>
          <w:color w:val="000000"/>
          <w:sz w:val="24"/>
        </w:rPr>
        <w:t>随时接受监理工程师质量检查，落实“监理工程师通知”，并通报（反馈）处理办法和结果。</w:t>
      </w:r>
    </w:p>
    <w:p>
      <w:pPr>
        <w:numPr>
          <w:ilvl w:val="0"/>
          <w:numId w:val="32"/>
        </w:numPr>
        <w:spacing w:line="360" w:lineRule="auto"/>
        <w:rPr>
          <w:rFonts w:hint="eastAsia" w:ascii="宋体" w:hAnsi="宋体" w:cs="Arial"/>
          <w:color w:val="000000"/>
          <w:sz w:val="24"/>
        </w:rPr>
      </w:pPr>
      <w:r>
        <w:rPr>
          <w:rFonts w:ascii="宋体" w:hAnsi="宋体" w:cs="Arial"/>
          <w:color w:val="000000"/>
          <w:sz w:val="24"/>
        </w:rPr>
        <w:t>协商交流标准引用、质量检验、实施方案、作业指导书、工程验收、交工资料整编等有关问题，并协商解决办法，作到技术文件充分、适用、有效、可操作，施工科学、有序。</w:t>
      </w:r>
    </w:p>
    <w:p>
      <w:pPr>
        <w:numPr>
          <w:ilvl w:val="0"/>
          <w:numId w:val="30"/>
        </w:numPr>
        <w:spacing w:line="360" w:lineRule="auto"/>
        <w:rPr>
          <w:rFonts w:hint="eastAsia" w:ascii="宋体" w:hAnsi="宋体"/>
          <w:b/>
          <w:sz w:val="24"/>
        </w:rPr>
      </w:pPr>
      <w:r>
        <w:rPr>
          <w:rFonts w:ascii="宋体" w:hAnsi="宋体"/>
          <w:b/>
          <w:sz w:val="24"/>
        </w:rPr>
        <w:t>与设计单位协调配合</w:t>
      </w:r>
    </w:p>
    <w:p>
      <w:pPr>
        <w:numPr>
          <w:ilvl w:val="0"/>
          <w:numId w:val="33"/>
        </w:numPr>
        <w:spacing w:line="360" w:lineRule="auto"/>
        <w:rPr>
          <w:rFonts w:ascii="宋体" w:hAnsi="宋体" w:cs="Arial"/>
          <w:color w:val="000000"/>
          <w:sz w:val="24"/>
        </w:rPr>
      </w:pPr>
      <w:r>
        <w:rPr>
          <w:rFonts w:ascii="宋体" w:hAnsi="宋体" w:cs="Arial"/>
          <w:color w:val="000000"/>
          <w:sz w:val="24"/>
        </w:rPr>
        <w:t>专门委派现场技术负责人与设计单位进行联系。</w:t>
      </w:r>
    </w:p>
    <w:p>
      <w:pPr>
        <w:numPr>
          <w:ilvl w:val="0"/>
          <w:numId w:val="33"/>
        </w:numPr>
        <w:spacing w:line="360" w:lineRule="auto"/>
        <w:rPr>
          <w:rFonts w:ascii="宋体" w:hAnsi="宋体" w:cs="Arial"/>
          <w:color w:val="000000"/>
          <w:sz w:val="24"/>
        </w:rPr>
      </w:pPr>
      <w:r>
        <w:rPr>
          <w:rFonts w:ascii="宋体" w:hAnsi="宋体" w:cs="Arial"/>
          <w:color w:val="000000"/>
          <w:sz w:val="24"/>
        </w:rPr>
        <w:t>在图纸会审时，应充分了解</w:t>
      </w:r>
      <w:r>
        <w:rPr>
          <w:rFonts w:hint="eastAsia" w:hAnsi="宋体" w:cs="Arial"/>
          <w:color w:val="000000"/>
          <w:sz w:val="24"/>
          <w:lang w:val="en-US" w:eastAsia="zh-CN"/>
        </w:rPr>
        <w:t>施工</w:t>
      </w:r>
      <w:r>
        <w:rPr>
          <w:rFonts w:ascii="宋体" w:hAnsi="宋体" w:cs="Arial"/>
          <w:color w:val="000000"/>
          <w:sz w:val="24"/>
        </w:rPr>
        <w:t>图纸，提出图纸中的疑点，以及与工程实施中的不适之处，寻求解决办法。</w:t>
      </w:r>
    </w:p>
    <w:p>
      <w:pPr>
        <w:numPr>
          <w:ilvl w:val="0"/>
          <w:numId w:val="33"/>
        </w:numPr>
        <w:spacing w:line="360" w:lineRule="auto"/>
        <w:rPr>
          <w:rFonts w:ascii="宋体" w:hAnsi="宋体" w:cs="Arial"/>
          <w:color w:val="000000"/>
          <w:sz w:val="24"/>
        </w:rPr>
      </w:pPr>
      <w:r>
        <w:rPr>
          <w:rFonts w:ascii="宋体" w:hAnsi="宋体" w:cs="Arial"/>
          <w:color w:val="000000"/>
          <w:sz w:val="24"/>
        </w:rPr>
        <w:t>技术交底时，应充分了解设计意图和工程难点、贯彻设计意图。与设计院交流施工方案和施工方法，寻求设计院指导。</w:t>
      </w:r>
    </w:p>
    <w:p>
      <w:pPr>
        <w:numPr>
          <w:ilvl w:val="0"/>
          <w:numId w:val="33"/>
        </w:numPr>
        <w:spacing w:line="360" w:lineRule="auto"/>
        <w:rPr>
          <w:rFonts w:hint="eastAsia" w:ascii="宋体" w:hAnsi="宋体" w:cs="Arial"/>
          <w:color w:val="000000"/>
          <w:sz w:val="24"/>
        </w:rPr>
      </w:pPr>
      <w:r>
        <w:rPr>
          <w:rFonts w:ascii="宋体" w:hAnsi="宋体" w:cs="Arial"/>
          <w:color w:val="000000"/>
          <w:sz w:val="24"/>
        </w:rPr>
        <w:t>施工中随时通报信息，交流施工中出现的问题，寻求解决办法。工程施工图已由设计单位作了初步设计，优化、细化设计将由我公司来完成，故在图纸会审、技术交底时，应将监控系统中设计院完成的设计图纸和我公司的深化设计图纸进行充分检查评审，找出疏漏，重叠之处，使整个监控图完整、适用、有效。</w:t>
      </w:r>
    </w:p>
    <w:p>
      <w:pPr>
        <w:pStyle w:val="3"/>
        <w:numPr>
          <w:ilvl w:val="1"/>
          <w:numId w:val="2"/>
        </w:numPr>
        <w:rPr>
          <w:rFonts w:hint="eastAsia" w:ascii="宋体" w:hAnsi="宋体" w:eastAsia="宋体"/>
          <w:sz w:val="30"/>
          <w:szCs w:val="30"/>
        </w:rPr>
      </w:pPr>
      <w:bookmarkStart w:id="188" w:name="_Toc29807"/>
      <w:bookmarkStart w:id="189" w:name="_Toc28998"/>
      <w:bookmarkStart w:id="190" w:name="_Toc93674464"/>
      <w:bookmarkStart w:id="191" w:name="_Toc18648"/>
      <w:bookmarkStart w:id="192" w:name="_Toc18007"/>
      <w:bookmarkStart w:id="193" w:name="_Toc14176"/>
      <w:r>
        <w:rPr>
          <w:rFonts w:ascii="宋体" w:hAnsi="宋体" w:eastAsia="宋体" w:cs="Arial"/>
          <w:bCs w:val="0"/>
          <w:color w:val="000000"/>
          <w:sz w:val="30"/>
          <w:szCs w:val="30"/>
        </w:rPr>
        <w:t>施工工序主要控制</w:t>
      </w:r>
      <w:r>
        <w:rPr>
          <w:rFonts w:hint="eastAsia" w:ascii="宋体" w:hAnsi="宋体" w:eastAsia="宋体" w:cs="Arial"/>
          <w:bCs w:val="0"/>
          <w:color w:val="000000"/>
          <w:sz w:val="30"/>
          <w:szCs w:val="30"/>
        </w:rPr>
        <w:t>措施</w:t>
      </w:r>
      <w:r>
        <w:rPr>
          <w:rFonts w:ascii="宋体" w:hAnsi="宋体" w:eastAsia="宋体" w:cs="Arial"/>
          <w:bCs w:val="0"/>
          <w:color w:val="000000"/>
          <w:sz w:val="30"/>
          <w:szCs w:val="30"/>
        </w:rPr>
        <w:t>及要求</w:t>
      </w:r>
      <w:bookmarkEnd w:id="188"/>
      <w:bookmarkEnd w:id="189"/>
      <w:bookmarkEnd w:id="190"/>
      <w:bookmarkEnd w:id="191"/>
      <w:bookmarkEnd w:id="192"/>
      <w:bookmarkEnd w:id="193"/>
    </w:p>
    <w:p>
      <w:pPr>
        <w:spacing w:line="360" w:lineRule="auto"/>
        <w:ind w:firstLine="480" w:firstLineChars="200"/>
        <w:rPr>
          <w:rFonts w:hint="eastAsia" w:ascii="宋体" w:hAnsi="宋体" w:cs="Arial"/>
          <w:color w:val="000000"/>
          <w:sz w:val="24"/>
        </w:rPr>
      </w:pPr>
      <w:r>
        <w:rPr>
          <w:rFonts w:ascii="宋体" w:hAnsi="宋体" w:cs="Arial"/>
          <w:color w:val="000000"/>
          <w:sz w:val="24"/>
        </w:rPr>
        <w:t>针对</w:t>
      </w:r>
      <w:r>
        <w:rPr>
          <w:rFonts w:hint="eastAsia" w:ascii="宋体" w:hAnsi="宋体" w:cs="Arial"/>
          <w:color w:val="000000"/>
          <w:sz w:val="24"/>
        </w:rPr>
        <w:t>周至县公安局交警大队道路交通安全隐患治理</w:t>
      </w:r>
      <w:r>
        <w:rPr>
          <w:rFonts w:ascii="宋体" w:hAnsi="宋体" w:cs="Arial"/>
          <w:color w:val="000000"/>
          <w:sz w:val="24"/>
        </w:rPr>
        <w:t>工程中各子系统施工中的共性及各自特点，我公司做出相应的施工技术方案。</w:t>
      </w:r>
    </w:p>
    <w:p>
      <w:pPr>
        <w:pStyle w:val="4"/>
        <w:numPr>
          <w:ilvl w:val="1"/>
          <w:numId w:val="34"/>
        </w:numPr>
        <w:rPr>
          <w:rFonts w:hint="eastAsia" w:ascii="宋体" w:hAnsi="宋体"/>
          <w:sz w:val="28"/>
          <w:szCs w:val="28"/>
        </w:rPr>
      </w:pPr>
      <w:bookmarkStart w:id="194" w:name="_Toc25959"/>
      <w:bookmarkStart w:id="195" w:name="_Toc24825"/>
      <w:bookmarkStart w:id="196" w:name="_Toc30601"/>
      <w:bookmarkStart w:id="197" w:name="_Toc23345"/>
      <w:bookmarkStart w:id="198" w:name="_Toc2426"/>
      <w:r>
        <w:rPr>
          <w:rFonts w:cs="Arial"/>
          <w:bCs w:val="0"/>
          <w:color w:val="000000"/>
          <w:sz w:val="28"/>
          <w:szCs w:val="28"/>
        </w:rPr>
        <w:t>施工材料进场控制措施</w:t>
      </w:r>
      <w:bookmarkEnd w:id="194"/>
      <w:bookmarkEnd w:id="195"/>
      <w:bookmarkEnd w:id="196"/>
      <w:bookmarkEnd w:id="197"/>
      <w:bookmarkEnd w:id="198"/>
    </w:p>
    <w:p>
      <w:pPr>
        <w:numPr>
          <w:ilvl w:val="0"/>
          <w:numId w:val="35"/>
        </w:numPr>
        <w:spacing w:line="360" w:lineRule="auto"/>
        <w:rPr>
          <w:rFonts w:ascii="宋体" w:hAnsi="宋体" w:cs="Arial"/>
          <w:color w:val="000000"/>
          <w:sz w:val="24"/>
        </w:rPr>
      </w:pPr>
      <w:r>
        <w:rPr>
          <w:rFonts w:ascii="宋体" w:hAnsi="宋体" w:cs="Arial"/>
          <w:color w:val="000000"/>
          <w:sz w:val="24"/>
        </w:rPr>
        <w:t>会同甲方、监理单位共同对运抵到施工现场的材料进行数量和质量的检验。</w:t>
      </w:r>
    </w:p>
    <w:p>
      <w:pPr>
        <w:numPr>
          <w:ilvl w:val="0"/>
          <w:numId w:val="35"/>
        </w:numPr>
        <w:spacing w:line="360" w:lineRule="auto"/>
        <w:rPr>
          <w:rFonts w:ascii="宋体" w:hAnsi="宋体" w:cs="Arial"/>
          <w:color w:val="000000"/>
          <w:sz w:val="24"/>
        </w:rPr>
      </w:pPr>
      <w:r>
        <w:rPr>
          <w:rFonts w:ascii="宋体" w:hAnsi="宋体" w:cs="Arial"/>
          <w:color w:val="000000"/>
          <w:sz w:val="24"/>
        </w:rPr>
        <w:t>证实所有材料都已检验并且合格后，方可进行施工，并与甲方共同签署《验货记录》。</w:t>
      </w:r>
    </w:p>
    <w:p>
      <w:pPr>
        <w:numPr>
          <w:ilvl w:val="0"/>
          <w:numId w:val="35"/>
        </w:numPr>
        <w:spacing w:line="360" w:lineRule="auto"/>
        <w:rPr>
          <w:rFonts w:ascii="宋体" w:hAnsi="宋体" w:cs="Arial"/>
          <w:color w:val="000000"/>
          <w:sz w:val="24"/>
        </w:rPr>
      </w:pPr>
      <w:r>
        <w:rPr>
          <w:rFonts w:ascii="宋体" w:hAnsi="宋体" w:cs="Arial"/>
          <w:color w:val="000000"/>
          <w:sz w:val="24"/>
        </w:rPr>
        <w:t>对现场检验不合格的材料，填写《不合格品通知单》并作好记录，独立堆放，通知物资采购部处理。</w:t>
      </w:r>
    </w:p>
    <w:p>
      <w:pPr>
        <w:numPr>
          <w:ilvl w:val="0"/>
          <w:numId w:val="35"/>
        </w:numPr>
        <w:spacing w:line="360" w:lineRule="auto"/>
        <w:rPr>
          <w:rFonts w:hint="eastAsia" w:ascii="宋体" w:hAnsi="宋体" w:cs="Arial"/>
          <w:color w:val="000000"/>
          <w:sz w:val="24"/>
        </w:rPr>
      </w:pPr>
      <w:r>
        <w:rPr>
          <w:rFonts w:ascii="宋体" w:hAnsi="宋体" w:cs="Arial"/>
          <w:color w:val="000000"/>
          <w:sz w:val="24"/>
        </w:rPr>
        <w:t>合格材料在施工现场存储期间，保持标志清楚、堆放整齐，防止损坏丢失。</w:t>
      </w:r>
    </w:p>
    <w:p>
      <w:pPr>
        <w:pStyle w:val="4"/>
        <w:numPr>
          <w:ilvl w:val="1"/>
          <w:numId w:val="34"/>
        </w:numPr>
        <w:rPr>
          <w:rFonts w:hint="eastAsia" w:ascii="宋体" w:hAnsi="宋体"/>
          <w:sz w:val="28"/>
          <w:szCs w:val="28"/>
        </w:rPr>
      </w:pPr>
      <w:bookmarkStart w:id="199" w:name="_Toc24778"/>
      <w:bookmarkStart w:id="200" w:name="_Toc22271"/>
      <w:bookmarkStart w:id="201" w:name="_Toc11433"/>
      <w:bookmarkStart w:id="202" w:name="_Toc30295"/>
      <w:bookmarkStart w:id="203" w:name="_Toc11343"/>
      <w:r>
        <w:rPr>
          <w:rFonts w:hint="eastAsia" w:ascii="宋体" w:hAnsi="宋体"/>
          <w:color w:val="000000"/>
          <w:sz w:val="28"/>
          <w:szCs w:val="28"/>
        </w:rPr>
        <w:t>施工技术措施</w:t>
      </w:r>
      <w:bookmarkEnd w:id="199"/>
      <w:bookmarkEnd w:id="200"/>
      <w:bookmarkEnd w:id="201"/>
      <w:bookmarkEnd w:id="202"/>
      <w:bookmarkEnd w:id="203"/>
    </w:p>
    <w:p>
      <w:pPr>
        <w:pStyle w:val="5"/>
        <w:numPr>
          <w:ilvl w:val="0"/>
          <w:numId w:val="0"/>
        </w:numPr>
        <w:ind w:leftChars="0"/>
        <w:outlineLvl w:val="3"/>
        <w:rPr>
          <w:rFonts w:hint="eastAsia" w:ascii="宋体" w:hAnsi="宋体" w:eastAsia="宋体" w:cs="宋体"/>
          <w:bCs w:val="0"/>
          <w:color w:val="000000"/>
          <w:sz w:val="24"/>
          <w:szCs w:val="24"/>
          <w:lang w:val="en-US" w:eastAsia="zh-CN"/>
        </w:rPr>
      </w:pPr>
      <w:bookmarkStart w:id="204" w:name="_Toc26543"/>
      <w:bookmarkStart w:id="205" w:name="_Toc22861"/>
      <w:r>
        <w:rPr>
          <w:rFonts w:hint="eastAsia" w:ascii="宋体" w:hAnsi="宋体" w:eastAsia="宋体" w:cs="宋体"/>
          <w:bCs w:val="0"/>
          <w:color w:val="000000"/>
          <w:sz w:val="24"/>
          <w:szCs w:val="24"/>
          <w:lang w:val="en-US" w:eastAsia="zh-CN"/>
        </w:rPr>
        <w:t>2.2.1 开挖与管线预埋、敷设线路施工技术措施</w:t>
      </w:r>
      <w:bookmarkEnd w:id="204"/>
      <w:bookmarkEnd w:id="205"/>
    </w:p>
    <w:p>
      <w:pPr>
        <w:spacing w:line="360" w:lineRule="auto"/>
        <w:ind w:firstLine="480" w:firstLineChars="200"/>
        <w:rPr>
          <w:rFonts w:ascii="宋体" w:hAnsi="宋体" w:cs="Arial"/>
          <w:color w:val="000000"/>
          <w:sz w:val="24"/>
        </w:rPr>
      </w:pPr>
      <w:r>
        <w:rPr>
          <w:rFonts w:ascii="宋体" w:hAnsi="宋体" w:cs="Arial"/>
          <w:color w:val="000000"/>
          <w:sz w:val="24"/>
        </w:rPr>
        <w:t>施工现场设一名现场工程师以指导施工进行， 并协同建设单位做好隐蔽工程的检测与验收、施工准备、布线图纸(施工图纸)、布线应对线路做检查。</w:t>
      </w:r>
    </w:p>
    <w:p>
      <w:pPr>
        <w:spacing w:line="360" w:lineRule="auto"/>
        <w:ind w:firstLine="480" w:firstLineChars="200"/>
        <w:rPr>
          <w:rFonts w:ascii="宋体" w:hAnsi="宋体" w:cs="Arial"/>
          <w:color w:val="000000"/>
          <w:sz w:val="24"/>
        </w:rPr>
      </w:pPr>
      <w:r>
        <w:rPr>
          <w:rFonts w:ascii="宋体" w:hAnsi="宋体" w:cs="Arial"/>
          <w:color w:val="000000"/>
          <w:sz w:val="24"/>
        </w:rPr>
        <w:t>施工所需的仪器设备、工具及施工材料应提前准备就绪，施工现场有障碍物时应提前清除。安装质量应符合相关的要求。</w:t>
      </w:r>
      <w:r>
        <w:rPr>
          <w:rFonts w:hint="eastAsia" w:hAnsi="宋体" w:cs="Arial"/>
          <w:color w:val="000000"/>
          <w:sz w:val="24"/>
          <w:lang w:val="en-US" w:eastAsia="zh-CN"/>
        </w:rPr>
        <w:t>施工工具有：</w:t>
      </w:r>
      <w:r>
        <w:rPr>
          <w:rFonts w:ascii="宋体" w:hAnsi="宋体" w:cs="Arial"/>
          <w:color w:val="000000"/>
          <w:sz w:val="24"/>
        </w:rPr>
        <w:t>交流电弧焊机、十字镐、铁铲、铁撬、铁锤打夯机、洛阳铲、钩机。</w:t>
      </w:r>
    </w:p>
    <w:p>
      <w:pPr>
        <w:spacing w:line="360" w:lineRule="auto"/>
        <w:ind w:firstLine="480" w:firstLineChars="200"/>
        <w:rPr>
          <w:rFonts w:hint="eastAsia" w:ascii="宋体" w:hAnsi="宋体" w:eastAsia="宋体" w:cs="Arial"/>
          <w:color w:val="000000"/>
          <w:sz w:val="24"/>
          <w:lang w:eastAsia="zh-CN"/>
        </w:rPr>
      </w:pPr>
      <w:r>
        <w:rPr>
          <w:rFonts w:ascii="宋体" w:hAnsi="宋体" w:cs="Arial"/>
          <w:color w:val="000000"/>
          <w:sz w:val="24"/>
        </w:rPr>
        <w:t>线缆管道开挖敷设、开挖和管道预埋及手孔井标准</w:t>
      </w:r>
      <w:r>
        <w:rPr>
          <w:rFonts w:hint="eastAsia" w:hAnsi="宋体" w:cs="Arial"/>
          <w:color w:val="000000"/>
          <w:sz w:val="24"/>
          <w:lang w:eastAsia="zh-CN"/>
        </w:rPr>
        <w:t>：</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本工程采用热镀锌管和PVC增强型硬质塑料管，其管身无伤痕，管孔无变形。塑料管在埋设之前用钢锉锉磨管口，以免日后放光缆时刮伤光缆。</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管道段长：直线管道允许段长一般限制在120米以内，弯曲管道段长应相应缩短，管道弯曲的曲率半径一般不宜小于36米，曲线部分所夹圆心角不应大于90度，且在一段弯曲管道内不应有反向弯曲。</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管道埋深及其坡度，一般情况下管道的埋设深度按要求埋设，人行道预埋PVC管至管顶的最小埋深0.6米，车行道预埋镀锌铁管至管顶的最小埋深0.8米，为保证管道中积水的流动顺畅，管道的坡度一般最小不得低于2.5‰。</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一般情况下,手孔内相对位置孔高度差大于 0.5 米。进入手孔的管道，管底距手孔基础面一般不应小于0.3米。立杆与立杆之间必须做手井连接。</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塑料管的敷设：塑料管敷设之前将管沟铲平，石质地段应在塑料管底层铺不小于10CM的碎石或沙，塑料管层与层及同层邻管之间为1CM，并将其间隙及管顶和两侧均用砂填充夯实，为防尘管道群弯曲不规则，管孔数较多的管群可用铁线捆绑及木桩固定，塑料管在易受外力损伤冲击的地段采用10CM厚的100#混凝土全部包封。通信管道与其他管线最小净距离应符合《通信管道工程及验收技术规范》YDJ39-90的有关规定。</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人、手孔建筑：本工程人、手孔全部采用《通信管道人、手孔和管块组群图集》的新型人、手孔规范。</w:t>
      </w:r>
    </w:p>
    <w:p>
      <w:pPr>
        <w:numPr>
          <w:ilvl w:val="0"/>
          <w:numId w:val="0"/>
        </w:numPr>
        <w:spacing w:line="360" w:lineRule="auto"/>
        <w:ind w:leftChars="0"/>
        <w:rPr>
          <w:rFonts w:hint="eastAsia" w:ascii="宋体" w:hAnsi="宋体"/>
          <w:sz w:val="24"/>
        </w:rPr>
      </w:pPr>
      <w:r>
        <w:rPr>
          <w:rFonts w:hint="eastAsia" w:ascii="宋体" w:hAnsi="宋体"/>
          <w:sz w:val="24"/>
        </w:rPr>
        <w:drawing>
          <wp:inline distT="0" distB="0" distL="114300" distR="114300">
            <wp:extent cx="2628900" cy="1745615"/>
            <wp:effectExtent l="0" t="0" r="0" b="698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2628900" cy="1745615"/>
                    </a:xfrm>
                    <a:prstGeom prst="rect">
                      <a:avLst/>
                    </a:prstGeom>
                    <a:noFill/>
                    <a:ln>
                      <a:noFill/>
                    </a:ln>
                  </pic:spPr>
                </pic:pic>
              </a:graphicData>
            </a:graphic>
          </wp:inline>
        </w:drawing>
      </w:r>
      <w:r>
        <w:rPr>
          <w:rFonts w:hint="eastAsia" w:ascii="宋体" w:hAnsi="宋体"/>
          <w:sz w:val="24"/>
        </w:rPr>
        <w:drawing>
          <wp:inline distT="0" distB="0" distL="114300" distR="114300">
            <wp:extent cx="2517775" cy="1570355"/>
            <wp:effectExtent l="0" t="0" r="9525" b="444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2517775" cy="1570355"/>
                    </a:xfrm>
                    <a:prstGeom prst="rect">
                      <a:avLst/>
                    </a:prstGeom>
                    <a:noFill/>
                    <a:ln>
                      <a:noFill/>
                    </a:ln>
                  </pic:spPr>
                </pic:pic>
              </a:graphicData>
            </a:graphic>
          </wp:inline>
        </w:drawing>
      </w:r>
    </w:p>
    <w:p>
      <w:pPr>
        <w:numPr>
          <w:ilvl w:val="0"/>
          <w:numId w:val="0"/>
        </w:numPr>
        <w:spacing w:line="360" w:lineRule="auto"/>
        <w:ind w:leftChars="0"/>
        <w:jc w:val="center"/>
        <w:rPr>
          <w:rFonts w:hint="default" w:ascii="宋体" w:hAnsi="宋体" w:eastAsia="宋体"/>
          <w:sz w:val="24"/>
          <w:lang w:val="en-US" w:eastAsia="zh-CN"/>
        </w:rPr>
      </w:pPr>
      <w:r>
        <w:rPr>
          <w:rFonts w:hint="eastAsia" w:hAnsi="宋体"/>
          <w:sz w:val="24"/>
          <w:lang w:val="en-US" w:eastAsia="zh-CN"/>
        </w:rPr>
        <w:t>手孔井示意图</w:t>
      </w:r>
    </w:p>
    <w:p>
      <w:pPr>
        <w:numPr>
          <w:ilvl w:val="0"/>
          <w:numId w:val="37"/>
        </w:numPr>
        <w:spacing w:line="360" w:lineRule="auto"/>
        <w:ind w:left="1360" w:leftChars="0" w:hanging="340" w:firstLineChars="0"/>
        <w:rPr>
          <w:rFonts w:ascii="宋体" w:hAnsi="宋体" w:cs="Arial"/>
          <w:color w:val="000000"/>
          <w:sz w:val="24"/>
        </w:rPr>
      </w:pPr>
      <w:r>
        <w:rPr>
          <w:rFonts w:ascii="宋体" w:hAnsi="宋体" w:cs="Arial"/>
          <w:color w:val="000000"/>
          <w:sz w:val="24"/>
        </w:rPr>
        <w:t>砖砌人、手孔的基础通常采用无钢筋150#混凝土浇注，其厚度一般规定为12-15CM。</w:t>
      </w:r>
    </w:p>
    <w:p>
      <w:pPr>
        <w:numPr>
          <w:ilvl w:val="0"/>
          <w:numId w:val="37"/>
        </w:numPr>
        <w:spacing w:line="360" w:lineRule="auto"/>
        <w:ind w:left="1360" w:leftChars="0" w:hanging="340" w:firstLineChars="0"/>
        <w:rPr>
          <w:rFonts w:ascii="宋体" w:hAnsi="宋体" w:cs="Arial"/>
          <w:color w:val="000000"/>
          <w:sz w:val="24"/>
        </w:rPr>
      </w:pPr>
      <w:r>
        <w:rPr>
          <w:rFonts w:ascii="宋体" w:hAnsi="宋体" w:cs="Arial"/>
          <w:color w:val="000000"/>
          <w:sz w:val="24"/>
        </w:rPr>
        <w:t>四壁：人、手孔四壁用甲级机制砖砌筑，砖缝采用不低于 75#水泥砂浆填充四壁内外表面均采用100#水泥砂浆进行抹面。</w:t>
      </w:r>
    </w:p>
    <w:p>
      <w:pPr>
        <w:numPr>
          <w:ilvl w:val="0"/>
          <w:numId w:val="37"/>
        </w:numPr>
        <w:spacing w:line="360" w:lineRule="auto"/>
        <w:ind w:left="1360" w:leftChars="0" w:hanging="340" w:firstLineChars="0"/>
        <w:rPr>
          <w:rFonts w:ascii="宋体" w:hAnsi="宋体" w:cs="Arial"/>
          <w:color w:val="000000"/>
          <w:sz w:val="24"/>
        </w:rPr>
      </w:pPr>
      <w:r>
        <w:rPr>
          <w:rFonts w:ascii="宋体" w:hAnsi="宋体" w:cs="Arial"/>
          <w:color w:val="000000"/>
          <w:sz w:val="24"/>
        </w:rPr>
        <w:t>上覆：人孔上覆是钢筋混凝土构件，厚度一般为大于 15cm,通常采用200#或以上的混凝土比较适宜。</w:t>
      </w:r>
    </w:p>
    <w:p>
      <w:pPr>
        <w:numPr>
          <w:ilvl w:val="0"/>
          <w:numId w:val="37"/>
        </w:numPr>
        <w:spacing w:line="360" w:lineRule="auto"/>
        <w:ind w:left="1360" w:leftChars="0" w:hanging="340" w:firstLineChars="0"/>
        <w:rPr>
          <w:rFonts w:ascii="宋体" w:hAnsi="宋体" w:cs="Arial"/>
          <w:color w:val="000000"/>
          <w:sz w:val="24"/>
        </w:rPr>
      </w:pPr>
      <w:r>
        <w:rPr>
          <w:rFonts w:ascii="宋体" w:hAnsi="宋体" w:cs="Arial"/>
          <w:color w:val="000000"/>
          <w:sz w:val="24"/>
        </w:rPr>
        <w:t>手孔口圈及铁盖：铁口圈内径为65CM，手孔口圈安装在手孔上覆时， 应根据路面标高考虑，安装后基本与路面平齐，略高于周围路面 0.5-1CM。</w:t>
      </w:r>
    </w:p>
    <w:p>
      <w:pPr>
        <w:numPr>
          <w:ilvl w:val="0"/>
          <w:numId w:val="37"/>
        </w:numPr>
        <w:spacing w:line="360" w:lineRule="auto"/>
        <w:ind w:left="1360" w:leftChars="0" w:hanging="340" w:firstLineChars="0"/>
        <w:rPr>
          <w:rFonts w:ascii="宋体" w:hAnsi="宋体" w:cs="Arial"/>
          <w:color w:val="000000"/>
          <w:sz w:val="24"/>
        </w:rPr>
      </w:pPr>
      <w:r>
        <w:rPr>
          <w:rFonts w:ascii="宋体" w:hAnsi="宋体" w:cs="Arial"/>
          <w:color w:val="000000"/>
          <w:sz w:val="24"/>
        </w:rPr>
        <w:t>拉力环：拉力环用Ф16MM的钢筋制成U型，安装在进入手孔管道口的下部约20CM处，并正对手孔对面管道的直线方向。</w:t>
      </w:r>
    </w:p>
    <w:p>
      <w:pPr>
        <w:numPr>
          <w:ilvl w:val="0"/>
          <w:numId w:val="36"/>
        </w:numPr>
        <w:spacing w:line="360" w:lineRule="auto"/>
        <w:ind w:left="425" w:leftChars="0" w:hanging="425" w:firstLineChars="0"/>
        <w:rPr>
          <w:rFonts w:ascii="宋体" w:hAnsi="宋体" w:cs="Arial"/>
          <w:color w:val="000000"/>
          <w:sz w:val="24"/>
        </w:rPr>
      </w:pPr>
      <w:r>
        <w:rPr>
          <w:rFonts w:ascii="宋体" w:hAnsi="宋体" w:cs="Arial"/>
          <w:color w:val="000000"/>
          <w:sz w:val="24"/>
        </w:rPr>
        <w:t>管道路由：按《设备平面布置图》标注的类型和路由敷设明管、暗管。注意图中所标明的管径；</w:t>
      </w:r>
    </w:p>
    <w:p>
      <w:pPr>
        <w:numPr>
          <w:ilvl w:val="0"/>
          <w:numId w:val="36"/>
        </w:numPr>
        <w:spacing w:line="360" w:lineRule="auto"/>
        <w:ind w:left="425" w:leftChars="0" w:hanging="425" w:firstLineChars="0"/>
        <w:rPr>
          <w:rFonts w:ascii="宋体" w:hAnsi="宋体" w:cs="Arial"/>
          <w:color w:val="000000"/>
          <w:sz w:val="24"/>
        </w:rPr>
      </w:pPr>
      <w:r>
        <w:rPr>
          <w:rFonts w:hint="eastAsia" w:ascii="宋体" w:hAnsi="宋体" w:cs="Arial"/>
          <w:color w:val="000000"/>
          <w:sz w:val="24"/>
          <w:lang w:val="en-US" w:eastAsia="zh-CN"/>
        </w:rPr>
        <w:t>线路敷设</w:t>
      </w:r>
      <w:r>
        <w:rPr>
          <w:rFonts w:ascii="宋体" w:hAnsi="宋体" w:cs="Arial"/>
          <w:color w:val="000000"/>
          <w:sz w:val="24"/>
        </w:rPr>
        <w:t>要求：</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应符合现行国家标准《电气装置安装工程电缆线路施工及验收规范》的有关规定；必须按图纸进行敷设</w:t>
      </w:r>
      <w:r>
        <w:rPr>
          <w:rFonts w:hint="eastAsia" w:hAnsi="宋体" w:cs="Arial"/>
          <w:color w:val="000000"/>
          <w:sz w:val="24"/>
          <w:lang w:eastAsia="zh-CN"/>
        </w:rPr>
        <w:t>；</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线缆管密封好，防水性能良好；</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线缆管离地面应不小于 0.5 米；</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线缆管管口应无毛刺和尖锐棱角；</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线缆管内放置穿线铁丝。</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根据设计图纸要求选配电缆，尽量避免电缆的接续。必须接续对应采取焊接方式或采用专用接插件。</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电源电缆与信号电缆应分开敷设。</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敷设电缆时尽量避开恶劣环境。如高温热源和化学腐蚀区域等。</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远离高压线或大电流电缆，不易避开时应各自穿配金属管，以防干扰。</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有强电磁场干扰环境应将电缆穿人金属管，并尽可能埋入地下。</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电缆穿管前应将管内积水、杂物清除干净，穿线时宜涂抹黄油或滑石粉，进入管口的电缆应保持平直，管内电缆不能有接头和扭结，穿好后应做防潮、防腐等处理。</w:t>
      </w:r>
    </w:p>
    <w:p>
      <w:pPr>
        <w:numPr>
          <w:ilvl w:val="0"/>
          <w:numId w:val="38"/>
        </w:numPr>
        <w:spacing w:line="360" w:lineRule="auto"/>
        <w:ind w:left="1360" w:leftChars="0" w:hanging="340" w:firstLineChars="0"/>
        <w:rPr>
          <w:rFonts w:ascii="宋体" w:hAnsi="宋体" w:cs="Arial"/>
          <w:color w:val="000000"/>
          <w:sz w:val="24"/>
        </w:rPr>
      </w:pPr>
      <w:r>
        <w:rPr>
          <w:rFonts w:ascii="宋体" w:hAnsi="宋体" w:cs="Arial"/>
          <w:color w:val="000000"/>
          <w:sz w:val="24"/>
        </w:rPr>
        <w:t>电缆应从所接设备下部穿出，并留出一定余量。</w:t>
      </w:r>
    </w:p>
    <w:p>
      <w:pPr>
        <w:numPr>
          <w:ilvl w:val="0"/>
          <w:numId w:val="38"/>
        </w:numPr>
        <w:spacing w:line="360" w:lineRule="auto"/>
        <w:ind w:left="1360" w:leftChars="0" w:hanging="340" w:firstLineChars="0"/>
        <w:rPr>
          <w:rFonts w:ascii="宋体" w:hAnsi="宋体" w:cs="Arial"/>
          <w:color w:val="000000"/>
          <w:sz w:val="24"/>
        </w:rPr>
      </w:pPr>
      <w:r>
        <w:rPr>
          <w:rFonts w:hint="eastAsia" w:ascii="宋体" w:hAnsi="宋体" w:cs="Arial"/>
          <w:color w:val="000000"/>
          <w:sz w:val="24"/>
          <w:lang w:val="en-US" w:eastAsia="zh-CN"/>
        </w:rPr>
        <w:t>电缆</w:t>
      </w:r>
      <w:r>
        <w:rPr>
          <w:rFonts w:ascii="宋体" w:hAnsi="宋体" w:cs="Arial"/>
          <w:color w:val="000000"/>
          <w:sz w:val="24"/>
        </w:rPr>
        <w:t>冷压</w:t>
      </w:r>
      <w:r>
        <w:rPr>
          <w:rFonts w:hint="eastAsia" w:ascii="宋体" w:hAnsi="宋体" w:cs="Arial"/>
          <w:color w:val="000000"/>
          <w:sz w:val="24"/>
          <w:lang w:val="en-US" w:eastAsia="zh-CN"/>
        </w:rPr>
        <w:t>应</w:t>
      </w:r>
      <w:r>
        <w:rPr>
          <w:rFonts w:ascii="宋体" w:hAnsi="宋体" w:cs="Arial"/>
          <w:color w:val="000000"/>
          <w:sz w:val="24"/>
        </w:rPr>
        <w:t>符合相关工艺要求，电源线线头焊锡处理连接到接线端子。在电缆端作好标志和编号。</w:t>
      </w:r>
    </w:p>
    <w:p>
      <w:pPr>
        <w:numPr>
          <w:ilvl w:val="0"/>
          <w:numId w:val="36"/>
        </w:numPr>
        <w:spacing w:line="360" w:lineRule="auto"/>
        <w:ind w:left="425" w:leftChars="0" w:hanging="425" w:firstLineChars="0"/>
        <w:rPr>
          <w:rFonts w:ascii="宋体" w:hAnsi="宋体" w:cs="Arial"/>
          <w:color w:val="000000"/>
          <w:sz w:val="24"/>
        </w:rPr>
      </w:pPr>
      <w:r>
        <w:rPr>
          <w:rFonts w:hint="eastAsia" w:ascii="宋体" w:hAnsi="宋体" w:cs="Arial"/>
          <w:color w:val="000000"/>
          <w:sz w:val="24"/>
          <w:lang w:val="en-US" w:eastAsia="zh-CN"/>
        </w:rPr>
        <w:t>穿线管材料：</w:t>
      </w:r>
      <w:r>
        <w:rPr>
          <w:rFonts w:ascii="宋体" w:hAnsi="宋体" w:cs="Arial"/>
          <w:color w:val="000000"/>
          <w:sz w:val="24"/>
        </w:rPr>
        <w:t>车行道使用钢管；人行道绿化带敷设使用PVC管。敷设的线缆除埋在花坛的或有特别说明的用 PVC 管保护， 其他部分要用镀锌钢管进行保 护；裸露在外的线缆（架空的除外）全部采用镀锌钢管加以保护。管线两固定点之间距离不得超过 1.5m。</w:t>
      </w:r>
    </w:p>
    <w:p>
      <w:pPr>
        <w:numPr>
          <w:ilvl w:val="0"/>
          <w:numId w:val="36"/>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线缆埋地的沟槽尺寸</w:t>
      </w:r>
      <w:r>
        <w:rPr>
          <w:rFonts w:hint="eastAsia" w:hAnsi="宋体" w:cs="Arial"/>
          <w:color w:val="000000"/>
          <w:sz w:val="24"/>
          <w:lang w:val="en-US" w:eastAsia="zh-CN"/>
        </w:rPr>
        <w:t>及</w:t>
      </w:r>
      <w:r>
        <w:rPr>
          <w:rFonts w:hint="eastAsia" w:ascii="宋体" w:hAnsi="宋体" w:cs="Arial"/>
          <w:color w:val="000000"/>
          <w:sz w:val="24"/>
          <w:lang w:val="en-US" w:eastAsia="zh-CN"/>
        </w:rPr>
        <w:t>土建施工要求</w:t>
      </w:r>
      <w:r>
        <w:rPr>
          <w:rFonts w:hint="eastAsia" w:hAnsi="宋体" w:cs="Arial"/>
          <w:color w:val="000000"/>
          <w:sz w:val="24"/>
          <w:lang w:val="en-US" w:eastAsia="zh-CN"/>
        </w:rPr>
        <w:t>：</w:t>
      </w:r>
      <w:r>
        <w:rPr>
          <w:rFonts w:hint="eastAsia" w:ascii="宋体" w:hAnsi="宋体" w:cs="Arial"/>
          <w:color w:val="000000"/>
          <w:sz w:val="24"/>
          <w:lang w:val="en-US" w:eastAsia="zh-CN"/>
        </w:rPr>
        <w:t>人行道为 0.2×0.6 米（宽×深），车行道为0.2×0.8米（宽× 深）。沟底先铺 C20 砼垫层，线缆敷设后，用细砂回填、夯实，再根据实际情况复原路面。</w:t>
      </w:r>
    </w:p>
    <w:p>
      <w:pPr>
        <w:pStyle w:val="5"/>
        <w:numPr>
          <w:ilvl w:val="0"/>
          <w:numId w:val="0"/>
        </w:numPr>
        <w:ind w:leftChars="0"/>
        <w:outlineLvl w:val="3"/>
        <w:rPr>
          <w:rFonts w:hint="eastAsia" w:ascii="宋体" w:hAnsi="宋体" w:cs="Arial"/>
          <w:color w:val="000000"/>
          <w:sz w:val="24"/>
          <w:lang w:val="en-US" w:eastAsia="zh-CN"/>
        </w:rPr>
      </w:pPr>
      <w:bookmarkStart w:id="206" w:name="_Toc28431"/>
      <w:bookmarkStart w:id="207" w:name="_Toc20749"/>
      <w:r>
        <w:rPr>
          <w:rFonts w:hint="eastAsia" w:ascii="宋体" w:hAnsi="宋体" w:eastAsia="宋体" w:cs="宋体"/>
          <w:bCs w:val="0"/>
          <w:color w:val="000000"/>
          <w:sz w:val="24"/>
          <w:szCs w:val="24"/>
          <w:lang w:val="en-US" w:eastAsia="zh-CN"/>
        </w:rPr>
        <w:t>2.2.2 光缆敷设及熔接施工技术措施</w:t>
      </w:r>
      <w:bookmarkEnd w:id="206"/>
      <w:bookmarkEnd w:id="207"/>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光缆的规格、型号、数量符合设计要求。光缆所附标记、标签内容齐全、清晰，外护套完整无损，并附有出厂质量检测合格证。光缆端头封装应良好。</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光缆线路施工严格按照施工图纸进行路由复测，布放光缆应平直，不得产生纽绞、打</w:t>
      </w:r>
      <w:r>
        <w:rPr>
          <w:rFonts w:hint="eastAsia" w:hAnsi="宋体" w:cs="Arial"/>
          <w:color w:val="000000"/>
          <w:sz w:val="24"/>
          <w:lang w:val="en-US" w:eastAsia="zh-CN"/>
        </w:rPr>
        <w:t>卷</w:t>
      </w:r>
      <w:r>
        <w:rPr>
          <w:rFonts w:hint="eastAsia" w:ascii="宋体" w:hAnsi="宋体" w:cs="Arial"/>
          <w:color w:val="000000"/>
          <w:sz w:val="24"/>
          <w:lang w:val="en-US" w:eastAsia="zh-CN"/>
        </w:rPr>
        <w:t>等现象，不应受到外力挤压和损伤。剥除、连接光缆时，必须使用专用工具，严禁损伤光纤。</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布设光纤时，光缆的弯曲半径在静止时不得小于外层护套直径的15倍，施工中不得小于20倍。光缆不放的牵引中，吊挂支点间隔不应大于1.5米，牵引力应小于光缆允许张力的80%，牵引速度不得超过15米/分，并保持匀速。光缆布线应松弛，与电缆在同一线槽时，应分别捆扎，并从电缆上方穿过。</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光缆接线完毕后在设备端应留有5-10米的余量，并测量光缆损耗。光缆不得破损、变形和纽伤，接头套管应密封严密。</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根据综合管线图确定敷设光缆路线，图纸设计光缆尽量利用低压管道。</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光缆盘运输应轻搬轻放，在工地上短距离移位可以滚动盘，滚动的方向与光缆盘绕方向相反。</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检查光缆的型号，数量与图纸设计的规定是否一致，光缆外套质量是否完好，查收质量检验合格证和性能检验报告。</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光缆盘架设：选择控制室为架设点将光缆盘架设在自制的放线架上，使盘能够转动。</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光纤牵引端头制作：在离光缆末端 0.3 米处， 用光缆环切器，对光缆外护套进行环 切，去除外护套将露出的纱线与光纤分离开来，然后将纱线绞起并用电工胶带将其缠起来，分开露出的光纤切断并除去，留下的部分掩埋在外护套。将光缆端的纱线与牵引细线结起来。</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合理分布光缆敷设人员。光缆敷设时设专人指挥用对讲机和扩音喇叭进行 敷设联络，施工人员相互配合，步调一致。在光缆盘处一人匀速盘动光缆盘并保持光缆从顶部拉出，光缆出盘后保持松弛状态。在光缆路线的转弯处设专人护送，直线段间隔10米左右设一人护送，遇到挂挡和打圈及时相互传递信息，汇报指挥进行处理。</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光缆的固定：光缆在桥架中与低压电缆分开单独固定，固定的间距直线段为 2米，垂直段为1.5 米，转弯处两端都要固定，沿金属支架敷设时用金属码固定。</w:t>
      </w:r>
    </w:p>
    <w:p>
      <w:pPr>
        <w:numPr>
          <w:ilvl w:val="0"/>
          <w:numId w:val="3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光纤连接：按设计要求，本工程的光纤我们采用光纤熔接机进行熔接。</w:t>
      </w:r>
    </w:p>
    <w:p>
      <w:pPr>
        <w:pStyle w:val="5"/>
        <w:numPr>
          <w:ilvl w:val="0"/>
          <w:numId w:val="0"/>
        </w:numPr>
        <w:ind w:leftChars="0"/>
        <w:outlineLvl w:val="3"/>
        <w:rPr>
          <w:rFonts w:hint="eastAsia" w:ascii="宋体" w:hAnsi="宋体" w:cs="Arial"/>
          <w:color w:val="000000"/>
          <w:sz w:val="24"/>
          <w:lang w:val="en-US" w:eastAsia="zh-CN"/>
        </w:rPr>
      </w:pPr>
      <w:bookmarkStart w:id="208" w:name="_Toc7773"/>
      <w:bookmarkStart w:id="209" w:name="_Toc10132"/>
      <w:r>
        <w:rPr>
          <w:rFonts w:hint="eastAsia" w:ascii="宋体" w:hAnsi="宋体" w:eastAsia="宋体" w:cs="宋体"/>
          <w:bCs w:val="0"/>
          <w:color w:val="000000"/>
          <w:sz w:val="24"/>
          <w:szCs w:val="24"/>
          <w:lang w:val="en-US" w:eastAsia="zh-CN"/>
        </w:rPr>
        <w:t>2.2.3 户外机箱机稳压电源施工技术措施</w:t>
      </w:r>
      <w:bookmarkEnd w:id="208"/>
      <w:bookmarkEnd w:id="209"/>
    </w:p>
    <w:p>
      <w:pPr>
        <w:numPr>
          <w:ilvl w:val="0"/>
          <w:numId w:val="0"/>
        </w:numPr>
        <w:spacing w:line="360" w:lineRule="auto"/>
        <w:ind w:leftChars="0" w:firstLine="480" w:firstLineChars="200"/>
        <w:rPr>
          <w:rFonts w:hint="eastAsia" w:ascii="宋体" w:hAnsi="宋体" w:cs="Arial"/>
          <w:color w:val="000000"/>
          <w:sz w:val="24"/>
          <w:lang w:val="en-US" w:eastAsia="zh-CN"/>
        </w:rPr>
      </w:pPr>
      <w:r>
        <w:rPr>
          <w:rFonts w:hint="eastAsia" w:ascii="宋体" w:hAnsi="宋体" w:cs="Arial"/>
          <w:color w:val="000000"/>
          <w:sz w:val="24"/>
          <w:lang w:val="en-US" w:eastAsia="zh-CN"/>
        </w:rPr>
        <w:t>前端的户外机箱是保证前端系统安全工作的重要组成部分，机箱中除安装以下设备外，还要求留有空间余量。</w:t>
      </w:r>
    </w:p>
    <w:p>
      <w:pPr>
        <w:numPr>
          <w:ilvl w:val="0"/>
          <w:numId w:val="4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专用稳压电源；</w:t>
      </w:r>
    </w:p>
    <w:p>
      <w:pPr>
        <w:numPr>
          <w:ilvl w:val="0"/>
          <w:numId w:val="4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市电进线和光纤都要引入机箱内；</w:t>
      </w:r>
    </w:p>
    <w:p>
      <w:pPr>
        <w:numPr>
          <w:ilvl w:val="0"/>
          <w:numId w:val="4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过流过压保护装置和电源防雷保护装置；</w:t>
      </w:r>
    </w:p>
    <w:p>
      <w:pPr>
        <w:numPr>
          <w:ilvl w:val="0"/>
          <w:numId w:val="4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接线端子；</w:t>
      </w:r>
    </w:p>
    <w:p>
      <w:pPr>
        <w:numPr>
          <w:ilvl w:val="0"/>
          <w:numId w:val="4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维修开关和插座；</w:t>
      </w:r>
    </w:p>
    <w:p>
      <w:pPr>
        <w:numPr>
          <w:ilvl w:val="0"/>
          <w:numId w:val="4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接地设备；</w:t>
      </w:r>
    </w:p>
    <w:p>
      <w:pPr>
        <w:numPr>
          <w:ilvl w:val="0"/>
          <w:numId w:val="4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室外机箱性能要求：</w:t>
      </w:r>
    </w:p>
    <w:p>
      <w:pPr>
        <w:numPr>
          <w:ilvl w:val="0"/>
          <w:numId w:val="42"/>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防雨；</w:t>
      </w:r>
    </w:p>
    <w:p>
      <w:pPr>
        <w:numPr>
          <w:ilvl w:val="0"/>
          <w:numId w:val="42"/>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耐高温；</w:t>
      </w:r>
    </w:p>
    <w:p>
      <w:pPr>
        <w:numPr>
          <w:ilvl w:val="0"/>
          <w:numId w:val="42"/>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防撬；</w:t>
      </w:r>
    </w:p>
    <w:p>
      <w:pPr>
        <w:numPr>
          <w:ilvl w:val="0"/>
          <w:numId w:val="42"/>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和立杆统一接地以避雷；</w:t>
      </w:r>
    </w:p>
    <w:p>
      <w:pPr>
        <w:numPr>
          <w:ilvl w:val="0"/>
          <w:numId w:val="4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前端需要提供可供摄像机及相关设备工作的稳压电源，并要具有过压、过流、抗干扰等功能，具体要求：</w:t>
      </w:r>
    </w:p>
    <w:p>
      <w:pPr>
        <w:numPr>
          <w:ilvl w:val="0"/>
          <w:numId w:val="43"/>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使用环境在户外；</w:t>
      </w:r>
    </w:p>
    <w:p>
      <w:pPr>
        <w:numPr>
          <w:ilvl w:val="0"/>
          <w:numId w:val="43"/>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选用户外专用型电源，按照户外工作环境设计；电源电压：50HZ-60HZ、DC12V±10%/AC24V±10%；</w:t>
      </w:r>
    </w:p>
    <w:p>
      <w:pPr>
        <w:pStyle w:val="5"/>
        <w:numPr>
          <w:ilvl w:val="0"/>
          <w:numId w:val="0"/>
        </w:numPr>
        <w:ind w:leftChars="0"/>
        <w:outlineLvl w:val="3"/>
        <w:rPr>
          <w:rFonts w:hint="eastAsia" w:ascii="宋体" w:hAnsi="宋体" w:cs="Arial"/>
          <w:color w:val="000000"/>
          <w:sz w:val="24"/>
          <w:lang w:val="en-US" w:eastAsia="zh-CN"/>
        </w:rPr>
      </w:pPr>
      <w:bookmarkStart w:id="210" w:name="_Toc13154"/>
      <w:bookmarkStart w:id="211" w:name="_Toc1611"/>
      <w:r>
        <w:rPr>
          <w:rFonts w:hint="eastAsia" w:ascii="宋体" w:hAnsi="宋体" w:eastAsia="宋体" w:cs="宋体"/>
          <w:bCs w:val="0"/>
          <w:color w:val="000000"/>
          <w:sz w:val="24"/>
          <w:szCs w:val="24"/>
          <w:lang w:val="en-US" w:eastAsia="zh-CN"/>
        </w:rPr>
        <w:t>2.2.4 监控中心及机房设备安装技术措施</w:t>
      </w:r>
      <w:bookmarkEnd w:id="210"/>
      <w:bookmarkEnd w:id="211"/>
    </w:p>
    <w:p>
      <w:pPr>
        <w:numPr>
          <w:ilvl w:val="0"/>
          <w:numId w:val="44"/>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机架、设备的排列位置和设备朝向都应按设计安装，并符合实际测定后的机房平面布置 图的要求。</w:t>
      </w:r>
    </w:p>
    <w:p>
      <w:pPr>
        <w:numPr>
          <w:ilvl w:val="0"/>
          <w:numId w:val="44"/>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机架、设备安装完工后，其水平度和垂直度都应符合厂家规定，若无规定时， 其前后左右的垂直度偏差均不应大于3mm。要求机架和设备安装牢固可靠，如有抗震要求时，必须按抗震标准要求加固。各种螺丝必须拧紧，无松动、缺少和损坏，机架没有晃动现象。</w:t>
      </w:r>
    </w:p>
    <w:p>
      <w:pPr>
        <w:numPr>
          <w:ilvl w:val="0"/>
          <w:numId w:val="44"/>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为便于施工和维护，机架和设备前应预留1.5m的过道，其背面距墙面应大于0.8m。相邻机架和设备应互相靠近，机面排列平齐。</w:t>
      </w:r>
    </w:p>
    <w:p>
      <w:pPr>
        <w:numPr>
          <w:ilvl w:val="0"/>
          <w:numId w:val="44"/>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机柜台安装位置按照设计要求进行，机柜离墙1m，安装和施工方便；底座安装牢固，按设计图的防震要求进行施工；机柜安放应竖直，柜面水平，垂直偏差不大于1‰，水平偏差不大于3mm，机柜之间缝隙不大于1mm；机台表面完整，无损伤，螺丝坚固，每平方米表面凹凸度应小于1mm；机内接插件和设备接触可靠；机内接线符合设计要求，接线端子各种 标志应齐全，保持良好；</w:t>
      </w:r>
    </w:p>
    <w:p>
      <w:pPr>
        <w:numPr>
          <w:ilvl w:val="0"/>
          <w:numId w:val="44"/>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管理电脑及管理终端安装于监控室合理位置，机柜及其内部设备、接地体、保护接地、导线截面、颜色符合设计要求；所有柜体作好接地端子，并良好连接地。基础型钢做好接地工作，盘柜的接地牢固良好。装有电器设备的可开启的盘、柜门以软导线与接地的金属构架 可靠地连接。</w:t>
      </w:r>
    </w:p>
    <w:p>
      <w:pPr>
        <w:pStyle w:val="5"/>
        <w:numPr>
          <w:ilvl w:val="0"/>
          <w:numId w:val="0"/>
        </w:numPr>
        <w:ind w:leftChars="0"/>
        <w:outlineLvl w:val="3"/>
        <w:rPr>
          <w:rFonts w:hint="eastAsia" w:ascii="宋体" w:hAnsi="宋体" w:cs="Arial"/>
          <w:color w:val="000000"/>
          <w:sz w:val="24"/>
          <w:lang w:val="en-US" w:eastAsia="zh-CN"/>
        </w:rPr>
      </w:pPr>
      <w:bookmarkStart w:id="212" w:name="_Toc13486"/>
      <w:bookmarkStart w:id="213" w:name="_Toc28019"/>
      <w:r>
        <w:rPr>
          <w:rFonts w:hint="eastAsia" w:ascii="宋体" w:hAnsi="宋体" w:eastAsia="宋体" w:cs="宋体"/>
          <w:bCs w:val="0"/>
          <w:color w:val="000000"/>
          <w:sz w:val="24"/>
          <w:szCs w:val="24"/>
          <w:lang w:val="en-US" w:eastAsia="zh-CN"/>
        </w:rPr>
        <w:t>2.2.5 基础预埋及立杆技术措施</w:t>
      </w:r>
      <w:bookmarkEnd w:id="212"/>
      <w:bookmarkEnd w:id="213"/>
    </w:p>
    <w:p>
      <w:pPr>
        <w:numPr>
          <w:ilvl w:val="0"/>
          <w:numId w:val="45"/>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基础施工</w:t>
      </w:r>
    </w:p>
    <w:p>
      <w:pPr>
        <w:numPr>
          <w:ilvl w:val="0"/>
          <w:numId w:val="46"/>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用途：固定摄像杆；</w:t>
      </w:r>
    </w:p>
    <w:p>
      <w:pPr>
        <w:numPr>
          <w:ilvl w:val="0"/>
          <w:numId w:val="46"/>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基础结构、尺寸：如图所示；</w:t>
      </w:r>
    </w:p>
    <w:p>
      <w:pPr>
        <w:numPr>
          <w:ilvl w:val="0"/>
          <w:numId w:val="0"/>
        </w:numPr>
        <w:spacing w:line="360" w:lineRule="auto"/>
        <w:ind w:left="0" w:leftChars="0" w:firstLine="0" w:firstLineChars="0"/>
        <w:rPr>
          <w:rFonts w:hint="eastAsia" w:ascii="宋体" w:hAnsi="宋体" w:cs="Arial"/>
          <w:color w:val="000000"/>
          <w:sz w:val="24"/>
          <w:lang w:val="en-US" w:eastAsia="zh-CN"/>
        </w:rPr>
      </w:pPr>
      <w:r>
        <w:drawing>
          <wp:inline distT="0" distB="0" distL="0" distR="0">
            <wp:extent cx="5275580" cy="2749550"/>
            <wp:effectExtent l="0" t="0" r="7620" b="6350"/>
            <wp:docPr id="409" name="IM 409"/>
            <wp:cNvGraphicFramePr/>
            <a:graphic xmlns:a="http://schemas.openxmlformats.org/drawingml/2006/main">
              <a:graphicData uri="http://schemas.openxmlformats.org/drawingml/2006/picture">
                <pic:pic xmlns:pic="http://schemas.openxmlformats.org/drawingml/2006/picture">
                  <pic:nvPicPr>
                    <pic:cNvPr id="409" name="IM 409"/>
                    <pic:cNvPicPr/>
                  </pic:nvPicPr>
                  <pic:blipFill>
                    <a:blip r:embed="rId10">
                      <a:lum contrast="12000"/>
                    </a:blip>
                    <a:stretch>
                      <a:fillRect/>
                    </a:stretch>
                  </pic:blipFill>
                  <pic:spPr>
                    <a:xfrm>
                      <a:off x="0" y="0"/>
                      <a:ext cx="5275580" cy="2749550"/>
                    </a:xfrm>
                    <a:prstGeom prst="rect">
                      <a:avLst/>
                    </a:prstGeom>
                  </pic:spPr>
                </pic:pic>
              </a:graphicData>
            </a:graphic>
          </wp:inline>
        </w:drawing>
      </w:r>
    </w:p>
    <w:p>
      <w:pPr>
        <w:numPr>
          <w:ilvl w:val="0"/>
          <w:numId w:val="46"/>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基础型号：由所需固定的摄像杆型号确定；</w:t>
      </w:r>
    </w:p>
    <w:p>
      <w:pPr>
        <w:numPr>
          <w:ilvl w:val="0"/>
          <w:numId w:val="46"/>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制作位置：在《设备平面布置图》所标注摄像杆位置处制作基础；</w:t>
      </w:r>
    </w:p>
    <w:p>
      <w:pPr>
        <w:numPr>
          <w:ilvl w:val="0"/>
          <w:numId w:val="45"/>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具体要求如下：</w:t>
      </w:r>
    </w:p>
    <w:p>
      <w:pPr>
        <w:numPr>
          <w:ilvl w:val="0"/>
          <w:numId w:val="47"/>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基础与手井之间应穿线管、且放置铁丝，用东西堵着线管进出口，防止沙石进去；</w:t>
      </w:r>
    </w:p>
    <w:p>
      <w:pPr>
        <w:numPr>
          <w:ilvl w:val="0"/>
          <w:numId w:val="47"/>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预埋地笼时，应做水平；丝杆露出部分应打黄油，做防锈处理；保证立杆横臂与路面垂直；</w:t>
      </w:r>
    </w:p>
    <w:p>
      <w:pPr>
        <w:numPr>
          <w:ilvl w:val="0"/>
          <w:numId w:val="47"/>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基础应高于地面至少10公分，防止积水。</w:t>
      </w:r>
    </w:p>
    <w:p>
      <w:pPr>
        <w:numPr>
          <w:ilvl w:val="0"/>
          <w:numId w:val="47"/>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建议基础尺寸：</w:t>
      </w:r>
    </w:p>
    <w:p>
      <w:pPr>
        <w:spacing w:line="360" w:lineRule="auto"/>
        <w:ind w:firstLine="540" w:firstLineChars="225"/>
        <w:rPr>
          <w:rFonts w:hint="eastAsia" w:ascii="宋体" w:hAnsi="宋体"/>
          <w:sz w:val="24"/>
        </w:rPr>
      </w:pPr>
      <w:r>
        <w:rPr>
          <w:rFonts w:hint="eastAsia" w:ascii="宋体" w:hAnsi="宋体"/>
          <w:sz w:val="24"/>
        </w:rPr>
        <w:t>立杆：6m（高）*6m（横臂长）， 基础：1.0m（长）*1.0m（宽）*1.2m（深）</w:t>
      </w:r>
    </w:p>
    <w:p>
      <w:pPr>
        <w:spacing w:line="360" w:lineRule="auto"/>
        <w:ind w:firstLine="540" w:firstLineChars="225"/>
        <w:rPr>
          <w:rFonts w:hint="eastAsia" w:ascii="宋体" w:hAnsi="宋体"/>
          <w:sz w:val="24"/>
        </w:rPr>
      </w:pPr>
      <w:r>
        <w:rPr>
          <w:rFonts w:hint="eastAsia" w:ascii="宋体" w:hAnsi="宋体"/>
          <w:sz w:val="24"/>
        </w:rPr>
        <w:t>立杆：6m（高）*8m（横臂长）， 基础：1.2m（长）*1.2m（宽）*1.5m（深）</w:t>
      </w:r>
    </w:p>
    <w:p>
      <w:pPr>
        <w:spacing w:line="360" w:lineRule="auto"/>
        <w:ind w:firstLine="540" w:firstLineChars="225"/>
        <w:rPr>
          <w:rFonts w:hint="eastAsia" w:ascii="宋体" w:hAnsi="宋体"/>
          <w:sz w:val="24"/>
        </w:rPr>
      </w:pPr>
      <w:r>
        <w:rPr>
          <w:rFonts w:hint="eastAsia" w:ascii="宋体" w:hAnsi="宋体"/>
          <w:sz w:val="24"/>
        </w:rPr>
        <w:t>立杆：6m（高）*10m（横臂长），基础：1.5m（长）*1.5m（宽）*1.8m（深）</w:t>
      </w:r>
    </w:p>
    <w:p>
      <w:pPr>
        <w:spacing w:line="360" w:lineRule="auto"/>
        <w:ind w:firstLine="540" w:firstLineChars="225"/>
        <w:rPr>
          <w:rFonts w:hint="eastAsia" w:ascii="宋体" w:hAnsi="宋体"/>
          <w:sz w:val="24"/>
        </w:rPr>
      </w:pPr>
      <w:r>
        <w:rPr>
          <w:rFonts w:hint="eastAsia" w:ascii="宋体" w:hAnsi="宋体"/>
          <w:sz w:val="24"/>
        </w:rPr>
        <w:t>立杆：6m（高）*12m（横臂长），基础：1.8m（长）*1.8m（宽）*2.0m（深）</w:t>
      </w:r>
    </w:p>
    <w:p>
      <w:pPr>
        <w:spacing w:line="360" w:lineRule="auto"/>
        <w:ind w:firstLine="540" w:firstLineChars="225"/>
        <w:rPr>
          <w:rFonts w:hint="eastAsia" w:ascii="宋体" w:hAnsi="宋体"/>
          <w:sz w:val="24"/>
        </w:rPr>
      </w:pPr>
      <w:r>
        <w:rPr>
          <w:rFonts w:hint="eastAsia" w:ascii="宋体" w:hAnsi="宋体"/>
          <w:sz w:val="24"/>
        </w:rPr>
        <w:t>立杆：6m（高）*15m（横臂长），基础：2.0m（长）*2.0m（宽）*2.2m（深）</w:t>
      </w:r>
    </w:p>
    <w:p>
      <w:pPr>
        <w:numPr>
          <w:ilvl w:val="0"/>
          <w:numId w:val="45"/>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制作要求：</w:t>
      </w:r>
    </w:p>
    <w:p>
      <w:pPr>
        <w:numPr>
          <w:ilvl w:val="0"/>
          <w:numId w:val="48"/>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应符合现行国家标准《电气装置安装工程电缆线路施工及验收规范》的有关规定；</w:t>
      </w:r>
    </w:p>
    <w:p>
      <w:pPr>
        <w:numPr>
          <w:ilvl w:val="0"/>
          <w:numId w:val="48"/>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基础与窨井之间应有穿线管，且放置铁丝；</w:t>
      </w:r>
    </w:p>
    <w:p>
      <w:pPr>
        <w:numPr>
          <w:ilvl w:val="0"/>
          <w:numId w:val="48"/>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基础钢板上钢筋按M40标准攻丝，配镀锌螺丝两个、平光垫圈和弹簧垫圈各一个。材料：16mm钢板、30mm钢筋、C25混凝土、碎石、2.5英寸PVC弯管；</w:t>
      </w:r>
      <w:r>
        <w:rPr>
          <w:rFonts w:ascii="宋体" w:hAnsi="宋体" w:eastAsia="宋体" w:cs="宋体"/>
          <w:spacing w:val="-2"/>
          <w:sz w:val="24"/>
          <w:szCs w:val="24"/>
        </w:rPr>
        <w:t>走线管最好量化，标出高程数字、管道直径和管道材料。</w:t>
      </w:r>
    </w:p>
    <w:p>
      <w:pPr>
        <w:numPr>
          <w:ilvl w:val="0"/>
          <w:numId w:val="45"/>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安装注意事项：</w:t>
      </w:r>
    </w:p>
    <w:p>
      <w:pPr>
        <w:numPr>
          <w:ilvl w:val="0"/>
          <w:numId w:val="49"/>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安装金属支杆前须确认立杆基础干固；</w:t>
      </w:r>
    </w:p>
    <w:p>
      <w:pPr>
        <w:numPr>
          <w:ilvl w:val="0"/>
          <w:numId w:val="49"/>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吊装前应拼装好竖杆与横臂的，固定要牢靠；</w:t>
      </w:r>
    </w:p>
    <w:p>
      <w:pPr>
        <w:numPr>
          <w:ilvl w:val="0"/>
          <w:numId w:val="49"/>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吊杆前也可事先将管线穿好，但注意确保吊装时不会损坏线缆；</w:t>
      </w:r>
    </w:p>
    <w:p>
      <w:pPr>
        <w:numPr>
          <w:ilvl w:val="0"/>
          <w:numId w:val="49"/>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吊装时，吊车钢缆的着力点为竖杆与横臂的连接处；</w:t>
      </w:r>
    </w:p>
    <w:p>
      <w:pPr>
        <w:numPr>
          <w:ilvl w:val="0"/>
          <w:numId w:val="49"/>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需用双边麻绳线缆，人工控制横臂方向；</w:t>
      </w:r>
    </w:p>
    <w:p>
      <w:pPr>
        <w:numPr>
          <w:ilvl w:val="0"/>
          <w:numId w:val="49"/>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安装固定应采用双固定采用双螺帽+大垫片方式，确保固定牢靠。</w:t>
      </w:r>
    </w:p>
    <w:p>
      <w:pPr>
        <w:pStyle w:val="5"/>
        <w:numPr>
          <w:ilvl w:val="0"/>
          <w:numId w:val="0"/>
        </w:numPr>
        <w:ind w:leftChars="0"/>
        <w:outlineLvl w:val="3"/>
        <w:rPr>
          <w:rFonts w:hint="eastAsia" w:ascii="宋体" w:hAnsi="宋体" w:cs="Arial"/>
          <w:color w:val="000000"/>
          <w:sz w:val="24"/>
          <w:lang w:val="en-US" w:eastAsia="zh-CN"/>
        </w:rPr>
      </w:pPr>
      <w:bookmarkStart w:id="214" w:name="_Toc13728"/>
      <w:bookmarkStart w:id="215" w:name="_Toc28175"/>
      <w:r>
        <w:rPr>
          <w:rFonts w:hint="eastAsia" w:ascii="宋体" w:hAnsi="宋体" w:eastAsia="宋体" w:cs="宋体"/>
          <w:bCs w:val="0"/>
          <w:color w:val="000000"/>
          <w:sz w:val="24"/>
          <w:szCs w:val="24"/>
          <w:lang w:val="en-US" w:eastAsia="zh-CN"/>
        </w:rPr>
        <w:t>2.2.6 防雷地网施工技术措施</w:t>
      </w:r>
      <w:bookmarkEnd w:id="214"/>
      <w:bookmarkEnd w:id="215"/>
    </w:p>
    <w:p>
      <w:pPr>
        <w:numPr>
          <w:ilvl w:val="0"/>
          <w:numId w:val="5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防雷地网施工要求</w:t>
      </w:r>
    </w:p>
    <w:p>
      <w:pPr>
        <w:numPr>
          <w:ilvl w:val="0"/>
          <w:numId w:val="5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监控系统采用集成微电子设备，故设备的耐过压、耐过流的水平下降，对雷电（包括感应雷及操作过电压）浪涌的承受能力下降。为了确保设备稳定可靠运行，以及保证工作人 员的安全，根据我国及国际有关规范规定，要求做好防雷电措施。</w:t>
      </w:r>
    </w:p>
    <w:p>
      <w:pPr>
        <w:numPr>
          <w:ilvl w:val="0"/>
          <w:numId w:val="5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所有设备的接地线须接入防雷接地体，达到防雷等电位。</w:t>
      </w:r>
    </w:p>
    <w:p>
      <w:pPr>
        <w:numPr>
          <w:ilvl w:val="0"/>
          <w:numId w:val="5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设备金属信号线一侧的终端设备输入口应具有相应接口的避雷器。应注意 对各保护设备避雷器的合理选用，其保护水平应小于该设备的耐压，以达到逐级保护通信设备的目的。具体规格型号根据实际情况选用。</w:t>
      </w:r>
    </w:p>
    <w:p>
      <w:pPr>
        <w:numPr>
          <w:ilvl w:val="0"/>
          <w:numId w:val="5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避雷器的接地线应该尽可能的短，信号避雷器的接地线截面积应不小于 2.5mm2,材料为 多股铜线；</w:t>
      </w:r>
    </w:p>
    <w:p>
      <w:pPr>
        <w:numPr>
          <w:ilvl w:val="0"/>
          <w:numId w:val="51"/>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由于现场地阻较大， 防雷接地采用扁铁、降阻剂等材料接地。防雷措施外部防雷根据 GB50057-94 《建筑物防雷设计规范》（2004年版）规范的要求，必须对建筑物做外部防雷措施。在设计建筑物外部防雷时，对其建筑物设计时必须考虑到楼顶上须设避雷带及避雷针，另外，建筑物应采用暗敷设引下线(可以利用建筑物构造柱内的主筋做引下线)，其间距不大于25米。</w:t>
      </w:r>
    </w:p>
    <w:p>
      <w:pPr>
        <w:numPr>
          <w:ilvl w:val="0"/>
          <w:numId w:val="5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屏蔽</w:t>
      </w:r>
    </w:p>
    <w:p>
      <w:pPr>
        <w:numPr>
          <w:ilvl w:val="0"/>
          <w:numId w:val="52"/>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空间屏蔽：无论是网络还是通讯机房等，其所有建筑均基本为框架式建筑，故建筑本身的梁与柱构成了大型格栅屏蔽，对建筑以外雷电产生的电磁脉冲有着很好的空间屏蔽，即将空间磁场作了一次大的衰减，从而将系统设备保护在LPZ1区的范围内。</w:t>
      </w:r>
    </w:p>
    <w:p>
      <w:pPr>
        <w:numPr>
          <w:ilvl w:val="0"/>
          <w:numId w:val="52"/>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线路屏蔽：为了避免线路上发生耦合现象，及线路之间产生互感电流， 建议弱电各系统 布线均采用金属屏蔽线槽架设，并将线槽金属两端做接地处理， 金属线槽接头处需做跨接处 理。另外，所有电源线路与信号线路应分线槽布线，且之间间距应大于30cm。如果线路上安装防雷器，要求其地线应单独走线，与其它线路间距大于 30cm，而且地线应尽量避免走直角。</w:t>
      </w:r>
    </w:p>
    <w:p>
      <w:pPr>
        <w:numPr>
          <w:ilvl w:val="0"/>
          <w:numId w:val="5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接地</w:t>
      </w:r>
    </w:p>
    <w:p>
      <w:pPr>
        <w:numPr>
          <w:ilvl w:val="0"/>
          <w:numId w:val="53"/>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接地方式：联合接地（三套法接地方式），应取系统最小接地电阻值。各系统 接地电阻应满足下列要求：功率接地（接零及N热地）：RN≤4Ω（电力供电系统要求）</w:t>
      </w:r>
      <w:r>
        <w:rPr>
          <w:rFonts w:hint="eastAsia" w:hAnsi="宋体" w:cs="Arial"/>
          <w:color w:val="000000"/>
          <w:sz w:val="24"/>
          <w:lang w:val="en-US" w:eastAsia="zh-CN"/>
        </w:rPr>
        <w:t>；</w:t>
      </w:r>
      <w:r>
        <w:rPr>
          <w:rFonts w:hint="eastAsia" w:ascii="宋体" w:hAnsi="宋体" w:cs="Arial"/>
          <w:color w:val="000000"/>
          <w:sz w:val="24"/>
          <w:lang w:val="en-US" w:eastAsia="zh-CN"/>
        </w:rPr>
        <w:t>系统安全保护接地：RPE≤4Ω（人员安全性要求）</w:t>
      </w:r>
      <w:r>
        <w:rPr>
          <w:rFonts w:hint="eastAsia" w:hAnsi="宋体" w:cs="Arial"/>
          <w:color w:val="000000"/>
          <w:sz w:val="24"/>
          <w:lang w:val="en-US" w:eastAsia="zh-CN"/>
        </w:rPr>
        <w:t>；</w:t>
      </w:r>
      <w:r>
        <w:rPr>
          <w:rFonts w:hint="eastAsia" w:ascii="宋体" w:hAnsi="宋体" w:cs="Arial"/>
          <w:color w:val="000000"/>
          <w:sz w:val="24"/>
          <w:lang w:val="en-US" w:eastAsia="zh-CN"/>
        </w:rPr>
        <w:t>直流（逻辑）工作接地（冷地） ：RDC≤1Ω（设备零电位参考大地）</w:t>
      </w:r>
      <w:r>
        <w:rPr>
          <w:rFonts w:hint="eastAsia" w:hAnsi="宋体" w:cs="Arial"/>
          <w:color w:val="000000"/>
          <w:sz w:val="24"/>
          <w:lang w:val="en-US" w:eastAsia="zh-CN"/>
        </w:rPr>
        <w:t>；</w:t>
      </w:r>
      <w:r>
        <w:rPr>
          <w:rFonts w:hint="eastAsia" w:ascii="宋体" w:hAnsi="宋体" w:cs="Arial"/>
          <w:color w:val="000000"/>
          <w:sz w:val="24"/>
          <w:lang w:val="en-US" w:eastAsia="zh-CN"/>
        </w:rPr>
        <w:t>建筑物（钢筋）接地：RJ≤10Ω（建筑防雷要求）</w:t>
      </w:r>
      <w:r>
        <w:rPr>
          <w:rFonts w:hint="eastAsia" w:hAnsi="宋体" w:cs="Arial"/>
          <w:color w:val="000000"/>
          <w:sz w:val="24"/>
          <w:lang w:val="en-US" w:eastAsia="zh-CN"/>
        </w:rPr>
        <w:t>；</w:t>
      </w:r>
      <w:r>
        <w:rPr>
          <w:rFonts w:hint="eastAsia" w:ascii="宋体" w:hAnsi="宋体" w:cs="Arial"/>
          <w:color w:val="000000"/>
          <w:sz w:val="24"/>
          <w:lang w:val="en-US" w:eastAsia="zh-CN"/>
        </w:rPr>
        <w:t>屏蔽接地：RP≤4Ω（电磁屏蔽要求）</w:t>
      </w:r>
      <w:r>
        <w:rPr>
          <w:rFonts w:hint="eastAsia" w:hAnsi="宋体" w:cs="Arial"/>
          <w:color w:val="000000"/>
          <w:sz w:val="24"/>
          <w:lang w:val="en-US" w:eastAsia="zh-CN"/>
        </w:rPr>
        <w:t>；</w:t>
      </w:r>
      <w:r>
        <w:rPr>
          <w:rFonts w:hint="eastAsia" w:ascii="宋体" w:hAnsi="宋体" w:cs="Arial"/>
          <w:color w:val="000000"/>
          <w:sz w:val="24"/>
          <w:lang w:val="en-US" w:eastAsia="zh-CN"/>
        </w:rPr>
        <w:t>通讯抗干扰地：RG≤1Ω（抗EMI 干扰要求）</w:t>
      </w:r>
      <w:r>
        <w:rPr>
          <w:rFonts w:hint="eastAsia" w:hAnsi="宋体" w:cs="Arial"/>
          <w:color w:val="000000"/>
          <w:sz w:val="24"/>
          <w:lang w:val="en-US" w:eastAsia="zh-CN"/>
        </w:rPr>
        <w:t>；</w:t>
      </w:r>
      <w:r>
        <w:rPr>
          <w:rFonts w:hint="eastAsia" w:ascii="宋体" w:hAnsi="宋体" w:cs="Arial"/>
          <w:color w:val="000000"/>
          <w:sz w:val="24"/>
          <w:lang w:val="en-US" w:eastAsia="zh-CN"/>
        </w:rPr>
        <w:t>防静电接地（串联1MΩ电阻）RJJ≤100Ω（静电泄流通路要求）</w:t>
      </w:r>
      <w:r>
        <w:rPr>
          <w:rFonts w:hint="eastAsia" w:hAnsi="宋体" w:cs="Arial"/>
          <w:color w:val="000000"/>
          <w:sz w:val="24"/>
          <w:lang w:val="en-US" w:eastAsia="zh-CN"/>
        </w:rPr>
        <w:t>；</w:t>
      </w:r>
      <w:r>
        <w:rPr>
          <w:rFonts w:hint="eastAsia" w:ascii="宋体" w:hAnsi="宋体" w:cs="Arial"/>
          <w:color w:val="000000"/>
          <w:sz w:val="24"/>
          <w:lang w:val="en-US" w:eastAsia="zh-CN"/>
        </w:rPr>
        <w:t>防雷接地 RF≤10 Ω（雷电接闪后泄流要求）</w:t>
      </w:r>
      <w:r>
        <w:rPr>
          <w:rFonts w:hint="eastAsia" w:hAnsi="宋体" w:cs="Arial"/>
          <w:color w:val="000000"/>
          <w:sz w:val="24"/>
          <w:lang w:val="en-US" w:eastAsia="zh-CN"/>
        </w:rPr>
        <w:t>；</w:t>
      </w:r>
      <w:r>
        <w:rPr>
          <w:rFonts w:hint="eastAsia" w:ascii="宋体" w:hAnsi="宋体" w:cs="Arial"/>
          <w:color w:val="000000"/>
          <w:sz w:val="24"/>
          <w:lang w:val="en-US" w:eastAsia="zh-CN"/>
        </w:rPr>
        <w:t>另导体之间的连接电阻应小于0.05Ω。各种线、环、网的设置，采用不同的规格的金属材料，金属件、导线连接件的电气连接或其压接连接接触电阻应小于0.05Ω。</w:t>
      </w:r>
    </w:p>
    <w:p>
      <w:pPr>
        <w:numPr>
          <w:ilvl w:val="0"/>
          <w:numId w:val="53"/>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均压等电位连接按照根据《建筑物防雷设计规范》 GB50057-94 中第 6.3.4 条要求，穿过各防雷区界面的金属物和系统，以及在一个防雷区内部的金属物和系统均应在界面处做符合要求的等腰三角形电位连接。对房所有金属设备外壳需做等电位连接，并做均压环设施，让设备地就近接地，避免房内因建筑物柱筋在泄放雷电流时，引起周围金属物件感应电压不一致，造成设备之间金属放电现象。同时要求均压环与房柱筋进行连接。这需要根据各系统所在其建筑内的空间决定均压环的大小和平面布置。</w:t>
      </w:r>
    </w:p>
    <w:p>
      <w:pPr>
        <w:numPr>
          <w:ilvl w:val="0"/>
          <w:numId w:val="5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设备安全距离</w:t>
      </w:r>
    </w:p>
    <w:p>
      <w:pPr>
        <w:numPr>
          <w:ilvl w:val="0"/>
          <w:numId w:val="0"/>
        </w:numPr>
        <w:spacing w:line="360" w:lineRule="auto"/>
        <w:ind w:leftChars="0" w:firstLine="480" w:firstLineChars="200"/>
        <w:rPr>
          <w:rFonts w:hint="eastAsia" w:ascii="宋体" w:hAnsi="宋体" w:cs="Arial"/>
          <w:color w:val="000000"/>
          <w:sz w:val="24"/>
          <w:lang w:val="en-US" w:eastAsia="zh-CN"/>
        </w:rPr>
      </w:pPr>
      <w:r>
        <w:rPr>
          <w:rFonts w:hint="eastAsia" w:ascii="宋体" w:hAnsi="宋体" w:cs="Arial"/>
          <w:color w:val="000000"/>
          <w:sz w:val="24"/>
          <w:lang w:val="en-US" w:eastAsia="zh-CN"/>
        </w:rPr>
        <w:t>根据《建筑物防雷设计规范》GB50057-94中第6.3.2条要求，设备安放位置应远离建筑物的梁、柱、壁顶等有金属的地方，避免其内钢筋在泄放雷电流时对金属产生较强的磁场，形成电磁脉冲电流，造成设备损坏，各系统电子设备安放位置的安全距离应规范要求。</w:t>
      </w:r>
    </w:p>
    <w:p>
      <w:pPr>
        <w:numPr>
          <w:ilvl w:val="0"/>
          <w:numId w:val="50"/>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施工准备</w:t>
      </w:r>
    </w:p>
    <w:p>
      <w:pPr>
        <w:numPr>
          <w:ilvl w:val="0"/>
          <w:numId w:val="54"/>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材料及工具</w:t>
      </w:r>
    </w:p>
    <w:p>
      <w:pPr>
        <w:numPr>
          <w:ilvl w:val="0"/>
          <w:numId w:val="55"/>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根据施工图做好扁钢、接地极等材料的计划，并报物资管理部按计划采购。</w:t>
      </w:r>
    </w:p>
    <w:p>
      <w:pPr>
        <w:numPr>
          <w:ilvl w:val="0"/>
          <w:numId w:val="55"/>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材料进场必须具备相应的检测合格资料，并报监理认可。</w:t>
      </w:r>
    </w:p>
    <w:p>
      <w:pPr>
        <w:numPr>
          <w:ilvl w:val="0"/>
          <w:numId w:val="55"/>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准备好合格焊条，作好焊条贮存工作，严防受潮。</w:t>
      </w:r>
    </w:p>
    <w:p>
      <w:pPr>
        <w:numPr>
          <w:ilvl w:val="0"/>
          <w:numId w:val="55"/>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 xml:space="preserve">施工机具配备，交流电弧焊机、十字镐、铁铲、铁撬、铁锤打夯机、洛阳铲。 </w:t>
      </w:r>
    </w:p>
    <w:p>
      <w:pPr>
        <w:numPr>
          <w:ilvl w:val="0"/>
          <w:numId w:val="54"/>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作业条件</w:t>
      </w:r>
    </w:p>
    <w:p>
      <w:pPr>
        <w:numPr>
          <w:ilvl w:val="0"/>
          <w:numId w:val="56"/>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施工场地符合施工要求。</w:t>
      </w:r>
    </w:p>
    <w:p>
      <w:pPr>
        <w:numPr>
          <w:ilvl w:val="0"/>
          <w:numId w:val="56"/>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施工前对施工人员进行安全培训技术交底，让施工人员了解和熟悉设计及施工规范要求。</w:t>
      </w:r>
    </w:p>
    <w:p>
      <w:pPr>
        <w:numPr>
          <w:ilvl w:val="0"/>
          <w:numId w:val="56"/>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做好沟槽开挖时的排水工作。</w:t>
      </w:r>
    </w:p>
    <w:p>
      <w:pPr>
        <w:numPr>
          <w:ilvl w:val="0"/>
          <w:numId w:val="56"/>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检查好施工机械（或工具），保证满足施工要求。</w:t>
      </w:r>
    </w:p>
    <w:p>
      <w:pPr>
        <w:numPr>
          <w:ilvl w:val="0"/>
          <w:numId w:val="56"/>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做好施工人员安排计划，配置劳动力。</w:t>
      </w:r>
    </w:p>
    <w:p>
      <w:pPr>
        <w:numPr>
          <w:ilvl w:val="0"/>
          <w:numId w:val="56"/>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与土建做好沟通，尽量减少交叉作业，合理安排作业面。</w:t>
      </w:r>
    </w:p>
    <w:p>
      <w:pPr>
        <w:numPr>
          <w:ilvl w:val="0"/>
          <w:numId w:val="54"/>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施工方法</w:t>
      </w:r>
    </w:p>
    <w:p>
      <w:pPr>
        <w:numPr>
          <w:ilvl w:val="0"/>
          <w:numId w:val="57"/>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地网安装质量要求：为确保接地电阻在4 欧姆以下，垂直接地体采用离子接地棒，水平接地体采用 40*4 的 镀锌扁钢，距离地面为 80mm,垂直接地体间距2米，地网呈四方型口字型， 地网的施工如下：</w:t>
      </w:r>
    </w:p>
    <w:p>
      <w:pPr>
        <w:widowControl w:val="0"/>
        <w:numPr>
          <w:ilvl w:val="0"/>
          <w:numId w:val="0"/>
        </w:numPr>
        <w:spacing w:line="360" w:lineRule="auto"/>
        <w:jc w:val="center"/>
        <w:rPr>
          <w:rFonts w:hint="eastAsia" w:ascii="宋体" w:hAnsi="宋体" w:cs="Arial"/>
          <w:color w:val="000000"/>
          <w:sz w:val="24"/>
          <w:lang w:val="en-US" w:eastAsia="zh-CN"/>
        </w:rPr>
      </w:pPr>
      <w:r>
        <w:drawing>
          <wp:inline distT="0" distB="0" distL="0" distR="0">
            <wp:extent cx="3618865" cy="2608580"/>
            <wp:effectExtent l="0" t="0" r="635" b="7620"/>
            <wp:docPr id="416" name="IM 416"/>
            <wp:cNvGraphicFramePr/>
            <a:graphic xmlns:a="http://schemas.openxmlformats.org/drawingml/2006/main">
              <a:graphicData uri="http://schemas.openxmlformats.org/drawingml/2006/picture">
                <pic:pic xmlns:pic="http://schemas.openxmlformats.org/drawingml/2006/picture">
                  <pic:nvPicPr>
                    <pic:cNvPr id="416" name="IM 416"/>
                    <pic:cNvPicPr/>
                  </pic:nvPicPr>
                  <pic:blipFill>
                    <a:blip r:embed="rId11"/>
                    <a:stretch>
                      <a:fillRect/>
                    </a:stretch>
                  </pic:blipFill>
                  <pic:spPr>
                    <a:xfrm>
                      <a:off x="0" y="0"/>
                      <a:ext cx="3618865" cy="2608580"/>
                    </a:xfrm>
                    <a:prstGeom prst="rect">
                      <a:avLst/>
                    </a:prstGeom>
                  </pic:spPr>
                </pic:pic>
              </a:graphicData>
            </a:graphic>
          </wp:inline>
        </w:drawing>
      </w:r>
    </w:p>
    <w:p>
      <w:pPr>
        <w:numPr>
          <w:ilvl w:val="0"/>
          <w:numId w:val="57"/>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挖一条宽30公分，深80公分的沟，横向每个4米向地下打入垂直接地体，纵向每个4米向地下打入垂直接地体垂直接地体采用离子接地棒，长度为3米，数量约4根；</w:t>
      </w:r>
    </w:p>
    <w:p>
      <w:pPr>
        <w:numPr>
          <w:ilvl w:val="0"/>
          <w:numId w:val="57"/>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在地面以下0.8米的沟内设置水平接地体，水平接地体采用4*40mm 热镀锌扁钢；</w:t>
      </w:r>
    </w:p>
    <w:p>
      <w:pPr>
        <w:numPr>
          <w:ilvl w:val="0"/>
          <w:numId w:val="57"/>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将4根垂直接地体与水平接地体焊接，焊接点必须牢固，同时须做防锈处理；</w:t>
      </w:r>
    </w:p>
    <w:p>
      <w:pPr>
        <w:numPr>
          <w:ilvl w:val="0"/>
          <w:numId w:val="57"/>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水平接地体的焊接采取搭接方式，搭接的长度不少于10cm,两边焊接要求牢固；</w:t>
      </w:r>
    </w:p>
    <w:p>
      <w:pPr>
        <w:numPr>
          <w:ilvl w:val="0"/>
          <w:numId w:val="57"/>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接地体与人行道之间的安全距离为 3 米。</w:t>
      </w:r>
    </w:p>
    <w:p>
      <w:pPr>
        <w:numPr>
          <w:ilvl w:val="0"/>
          <w:numId w:val="54"/>
        </w:numPr>
        <w:spacing w:line="360" w:lineRule="auto"/>
        <w:ind w:left="1020" w:leftChars="0" w:hanging="340" w:firstLineChars="0"/>
        <w:rPr>
          <w:rFonts w:hint="eastAsia" w:ascii="宋体" w:hAnsi="宋体" w:cs="Arial"/>
          <w:color w:val="000000"/>
          <w:sz w:val="24"/>
          <w:lang w:val="en-US" w:eastAsia="zh-CN"/>
        </w:rPr>
      </w:pPr>
      <w:r>
        <w:rPr>
          <w:rFonts w:hint="eastAsia" w:ascii="宋体" w:hAnsi="宋体" w:cs="Arial"/>
          <w:color w:val="000000"/>
          <w:sz w:val="24"/>
          <w:lang w:val="en-US" w:eastAsia="zh-CN"/>
        </w:rPr>
        <w:t xml:space="preserve"> 沟槽回填</w:t>
      </w:r>
    </w:p>
    <w:p>
      <w:pPr>
        <w:numPr>
          <w:ilvl w:val="0"/>
          <w:numId w:val="58"/>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接地体敷设完工后，准备回填隐蔽前，提前48小时通知监理验收， 并备好验收记录，经监理签字后方可隐蔽。</w:t>
      </w:r>
    </w:p>
    <w:p>
      <w:pPr>
        <w:numPr>
          <w:ilvl w:val="0"/>
          <w:numId w:val="58"/>
        </w:numPr>
        <w:spacing w:line="360" w:lineRule="auto"/>
        <w:ind w:left="1358" w:leftChars="302" w:hanging="331" w:hangingChars="138"/>
        <w:rPr>
          <w:rFonts w:hint="eastAsia" w:ascii="宋体" w:hAnsi="宋体" w:cs="Arial"/>
          <w:color w:val="000000"/>
          <w:sz w:val="24"/>
          <w:lang w:val="en-US" w:eastAsia="zh-CN"/>
        </w:rPr>
      </w:pPr>
      <w:r>
        <w:rPr>
          <w:rFonts w:hint="eastAsia" w:ascii="宋体" w:hAnsi="宋体" w:cs="Arial"/>
          <w:color w:val="000000"/>
          <w:sz w:val="24"/>
          <w:lang w:val="en-US" w:eastAsia="zh-CN"/>
        </w:rPr>
        <w:t>回填土：土沟底部应平整、无积水、无碎石。接地体敷设完后的土沟应回填土。回填土前应固定好扁钢。回填土内不应夹有石块和建筑垃圾等；外取的土壤不得带有较强的腐蚀性；在回填土时应分层夯实。</w:t>
      </w:r>
    </w:p>
    <w:p>
      <w:pPr>
        <w:pStyle w:val="5"/>
        <w:numPr>
          <w:ilvl w:val="0"/>
          <w:numId w:val="0"/>
        </w:numPr>
        <w:ind w:leftChars="0"/>
        <w:outlineLvl w:val="3"/>
        <w:rPr>
          <w:rFonts w:hint="eastAsia" w:ascii="宋体" w:hAnsi="宋体" w:cs="Arial"/>
          <w:color w:val="000000"/>
          <w:sz w:val="24"/>
          <w:lang w:val="en-US" w:eastAsia="zh-CN"/>
        </w:rPr>
      </w:pPr>
      <w:bookmarkStart w:id="216" w:name="_bookmark50"/>
      <w:bookmarkEnd w:id="216"/>
      <w:bookmarkStart w:id="217" w:name="_Toc2923"/>
      <w:bookmarkStart w:id="218" w:name="_Toc20804"/>
      <w:r>
        <w:rPr>
          <w:rFonts w:hint="eastAsia" w:ascii="宋体" w:hAnsi="宋体" w:eastAsia="宋体" w:cs="宋体"/>
          <w:bCs w:val="0"/>
          <w:color w:val="000000"/>
          <w:sz w:val="24"/>
          <w:szCs w:val="24"/>
          <w:lang w:val="en-US" w:eastAsia="zh-CN"/>
        </w:rPr>
        <w:t>2.2.7 立杆距离技术措施</w:t>
      </w:r>
      <w:bookmarkEnd w:id="217"/>
      <w:bookmarkEnd w:id="218"/>
    </w:p>
    <w:p>
      <w:pPr>
        <w:numPr>
          <w:ilvl w:val="0"/>
          <w:numId w:val="5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立杆安装距离对系统影响的说明</w:t>
      </w:r>
    </w:p>
    <w:p>
      <w:pPr>
        <w:pStyle w:val="42"/>
        <w:ind w:firstLine="480"/>
      </w:pPr>
      <w:r>
        <w:rPr>
          <w:rFonts w:hint="eastAsia"/>
        </w:rPr>
        <w:t>系统的像机立杆距离，影响到系统功能的实现和系统效果最佳发挥。立杆距离对系统的影响，主要表现在以下几个方面：</w:t>
      </w:r>
    </w:p>
    <w:p>
      <w:pPr>
        <w:pStyle w:val="42"/>
        <w:ind w:firstLine="480"/>
      </w:pPr>
      <w:r>
        <w:rPr>
          <w:rFonts w:hint="eastAsia"/>
        </w:rPr>
        <w:t>因素①：杆件安装距离决定了系统场景</w:t>
      </w:r>
    </w:p>
    <w:p>
      <w:pPr>
        <w:pStyle w:val="42"/>
        <w:ind w:firstLine="480"/>
      </w:pPr>
      <w:r>
        <w:rPr>
          <w:rFonts w:hint="eastAsia"/>
        </w:rPr>
        <w:t>我们系统监控场景的宽度要求覆盖2标准车道 7.5米（2车道*3.75标准车道）左右；而我们系统车牌识别车牌宽度的范围在90~140之间，以上是该系统对像机监控场景的整体要求。</w:t>
      </w:r>
    </w:p>
    <w:p>
      <w:pPr>
        <w:pStyle w:val="42"/>
        <w:ind w:firstLine="480"/>
      </w:pPr>
      <w:r>
        <w:rPr>
          <w:rFonts w:hint="eastAsia"/>
        </w:rPr>
        <w:t>影响像机监控场景的有两个因素：立杆距离和镜头焦距。他们之间的关系是：立杆距离不变时，需更换镜头焦距来满足像机场景要求；而当镜头焦距不变时，则采用移动立杆距离来满足系统场景要求。我们系统主机立杆的位置，就是采用以上方式来确认的。当镜头焦距选定后，立杆距离决定了系统的监控场景。</w:t>
      </w:r>
    </w:p>
    <w:p>
      <w:pPr>
        <w:pStyle w:val="42"/>
        <w:ind w:firstLine="480"/>
      </w:pPr>
      <w:r>
        <w:rPr>
          <w:rFonts w:hint="eastAsia"/>
        </w:rPr>
        <w:t>因素②：杆件安装距离决定了像机的监控角度</w:t>
      </w:r>
    </w:p>
    <w:p>
      <w:pPr>
        <w:pStyle w:val="42"/>
        <w:ind w:firstLine="480"/>
      </w:pPr>
      <w:r>
        <w:rPr>
          <w:rFonts w:hint="eastAsia"/>
        </w:rPr>
        <w:t>像机的监控角度影响视野内车辆的前后跟车的遮挡问题。立杆位置距离停止线越远，前后车遮挡问题越严重；立杆位置距离停止线越近，越能规避前后车遮挡问题。而监控车道车辆的前后车遮挡，影响系统的智能分析，从而也影响到系统效果的发挥。</w:t>
      </w:r>
    </w:p>
    <w:p>
      <w:pPr>
        <w:pStyle w:val="42"/>
        <w:ind w:firstLine="480"/>
      </w:pPr>
      <w:r>
        <w:rPr>
          <w:rFonts w:hint="eastAsia"/>
        </w:rPr>
        <w:t>因素③：杆件安装距离决定了系统的补光能效</w:t>
      </w:r>
    </w:p>
    <w:p>
      <w:pPr>
        <w:pStyle w:val="42"/>
        <w:ind w:firstLine="480"/>
        <w:rPr>
          <w:rFonts w:hint="eastAsia"/>
        </w:rPr>
      </w:pPr>
      <w:r>
        <w:rPr>
          <w:rFonts w:hint="eastAsia"/>
        </w:rPr>
        <w:t>系统的补光设备在设计上都有最佳补光的距离范围，在该距离范围内立杆，才能达到系统最佳补光要求。满足系统的夜间补光要求，才能确保系统夜间运行。</w:t>
      </w:r>
    </w:p>
    <w:p>
      <w:pPr>
        <w:numPr>
          <w:ilvl w:val="0"/>
          <w:numId w:val="5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立杆安装距离和镜头焦距匹配</w:t>
      </w:r>
    </w:p>
    <w:p>
      <w:pPr>
        <w:pStyle w:val="42"/>
        <w:ind w:firstLine="480"/>
        <w:rPr>
          <w:rFonts w:hint="eastAsia"/>
        </w:rPr>
      </w:pPr>
      <w:r>
        <w:rPr>
          <w:rFonts w:hint="eastAsia"/>
        </w:rPr>
        <w:t>由于路口情况复杂，系统最佳安装位置被占的情况普遍存在。因此，主机立杆除标准安装位置以外，还得兼顾非标安装点位的立杆安装规范。综合以上各方面因素的考虑，我们除了提供标准的主机立杆安装方案，还提供了非标的主机立杆方案供参考。</w:t>
      </w:r>
    </w:p>
    <w:p>
      <w:pPr>
        <w:numPr>
          <w:ilvl w:val="0"/>
          <w:numId w:val="5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系统标准立杆距离</w:t>
      </w:r>
    </w:p>
    <w:p>
      <w:pPr>
        <w:pStyle w:val="42"/>
        <w:ind w:firstLine="480"/>
        <w:rPr>
          <w:rFonts w:hint="eastAsia"/>
        </w:rPr>
      </w:pPr>
      <w:r>
        <w:rPr>
          <w:rFonts w:hint="eastAsia"/>
        </w:rPr>
        <w:t>系统标准方案推荐的立杆安装距离：</w:t>
      </w:r>
      <w:r>
        <w:rPr>
          <w:rFonts w:hint="eastAsia"/>
          <w:b/>
          <w:u w:val="double"/>
        </w:rPr>
        <w:t>立杆距离停止线18米，允许+1米冗余</w:t>
      </w:r>
      <w:r>
        <w:rPr>
          <w:rFonts w:hint="eastAsia"/>
        </w:rPr>
        <w:t>。推荐理由：该安装距离满足系统各方面要求，可使系统处于最佳运行状态，确保系统各项功能指标达到预期。</w:t>
      </w:r>
    </w:p>
    <w:p>
      <w:pPr>
        <w:numPr>
          <w:ilvl w:val="0"/>
          <w:numId w:val="5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非标安装方案对系统功能影响的说明</w:t>
      </w:r>
    </w:p>
    <w:p>
      <w:pPr>
        <w:pStyle w:val="42"/>
        <w:ind w:firstLine="480"/>
      </w:pPr>
      <w:r>
        <w:rPr>
          <w:rFonts w:hint="eastAsia"/>
        </w:rPr>
        <w:t>非标安装方案的系统安装，对系统的车牌识别、车辆行为判断和判断准确性以及夜间图像效果方面，都有较大影响。从实际项目施工经验来看，立杆距离超过20米以上，对系统功能及效果方面的影响逐渐显现，随着立杆后移的距离增加，该影响也随之增大，若距离大于25以上还需后移，该影响将成倍增长。</w:t>
      </w:r>
    </w:p>
    <w:p>
      <w:pPr>
        <w:numPr>
          <w:ilvl w:val="0"/>
          <w:numId w:val="59"/>
        </w:numPr>
        <w:spacing w:line="360" w:lineRule="auto"/>
        <w:ind w:left="425" w:leftChars="0" w:hanging="425" w:firstLineChars="0"/>
        <w:rPr>
          <w:rFonts w:hint="eastAsia" w:ascii="宋体" w:hAnsi="宋体" w:cs="Arial"/>
          <w:color w:val="000000"/>
          <w:sz w:val="24"/>
          <w:lang w:val="en-US" w:eastAsia="zh-CN"/>
        </w:rPr>
      </w:pPr>
      <w:r>
        <w:rPr>
          <w:rFonts w:hint="eastAsia" w:ascii="宋体" w:hAnsi="宋体" w:cs="Arial"/>
          <w:color w:val="000000"/>
          <w:sz w:val="24"/>
          <w:lang w:val="en-US" w:eastAsia="zh-CN"/>
        </w:rPr>
        <w:t>杆件高度及横杆长度要求</w:t>
      </w:r>
    </w:p>
    <w:p>
      <w:pPr>
        <w:pStyle w:val="42"/>
        <w:ind w:firstLine="480"/>
      </w:pPr>
      <w:r>
        <w:rPr>
          <w:rFonts w:hint="eastAsia"/>
        </w:rPr>
        <w:t>主机安装杆件的高度和横杆长度要求如下：</w:t>
      </w:r>
    </w:p>
    <w:p>
      <w:pPr>
        <w:pStyle w:val="42"/>
        <w:numPr>
          <w:ilvl w:val="0"/>
          <w:numId w:val="60"/>
        </w:numPr>
        <w:ind w:firstLineChars="0"/>
      </w:pPr>
      <w:r>
        <w:rPr>
          <w:rFonts w:hint="eastAsia"/>
        </w:rPr>
        <w:t>系统对像机安装杆件的高度要求在： 6米；</w:t>
      </w:r>
    </w:p>
    <w:p>
      <w:pPr>
        <w:pStyle w:val="42"/>
        <w:numPr>
          <w:ilvl w:val="0"/>
          <w:numId w:val="60"/>
        </w:numPr>
        <w:ind w:firstLineChars="0"/>
      </w:pPr>
      <w:r>
        <w:rPr>
          <w:rFonts w:hint="eastAsia"/>
        </w:rPr>
        <w:t xml:space="preserve">监控2车道时、横杆长度要求：至少覆盖1个半车道。                                  </w:t>
      </w:r>
    </w:p>
    <w:p>
      <w:pPr>
        <w:pStyle w:val="5"/>
        <w:numPr>
          <w:ilvl w:val="0"/>
          <w:numId w:val="0"/>
        </w:numPr>
        <w:ind w:leftChars="0"/>
        <w:outlineLvl w:val="3"/>
        <w:rPr>
          <w:rFonts w:hint="eastAsia" w:ascii="宋体" w:hAnsi="宋体" w:cs="Arial"/>
          <w:color w:val="000000"/>
          <w:sz w:val="24"/>
          <w:lang w:val="en-US" w:eastAsia="zh-CN"/>
        </w:rPr>
      </w:pPr>
      <w:bookmarkStart w:id="219" w:name="_Toc18775"/>
      <w:bookmarkStart w:id="220" w:name="_Toc25663"/>
      <w:bookmarkStart w:id="221" w:name="_Toc396293163"/>
      <w:r>
        <w:rPr>
          <w:rFonts w:hint="eastAsia" w:ascii="宋体" w:hAnsi="宋体" w:eastAsia="宋体" w:cs="宋体"/>
          <w:bCs w:val="0"/>
          <w:color w:val="000000"/>
          <w:sz w:val="24"/>
          <w:szCs w:val="24"/>
          <w:lang w:val="en-US" w:eastAsia="zh-CN"/>
        </w:rPr>
        <w:t>2.2.8 设备安装技术措施</w:t>
      </w:r>
      <w:bookmarkEnd w:id="219"/>
      <w:bookmarkEnd w:id="220"/>
    </w:p>
    <w:bookmarkEnd w:id="221"/>
    <w:p>
      <w:pPr>
        <w:pStyle w:val="7"/>
        <w:bidi w:val="0"/>
        <w:ind w:left="340" w:leftChars="100" w:firstLine="0" w:firstLineChars="0"/>
        <w:rPr>
          <w:rFonts w:hint="eastAsia"/>
          <w:sz w:val="24"/>
          <w:szCs w:val="24"/>
          <w:lang w:val="en-US" w:eastAsia="zh-CN"/>
        </w:rPr>
      </w:pPr>
      <w:bookmarkStart w:id="222" w:name="_Toc13848"/>
      <w:bookmarkStart w:id="223" w:name="_Toc29293"/>
      <w:r>
        <w:rPr>
          <w:rFonts w:hint="eastAsia"/>
          <w:sz w:val="24"/>
          <w:szCs w:val="24"/>
          <w:lang w:val="en-US" w:eastAsia="zh-CN"/>
        </w:rPr>
        <w:t xml:space="preserve">2.2.8.1 </w:t>
      </w:r>
      <w:bookmarkStart w:id="224" w:name="_Toc276987050"/>
      <w:r>
        <w:rPr>
          <w:rFonts w:hint="eastAsia"/>
          <w:sz w:val="24"/>
          <w:szCs w:val="24"/>
          <w:lang w:val="en-US" w:eastAsia="zh-CN"/>
        </w:rPr>
        <w:t>高清卡口型电子警察系统安装</w:t>
      </w:r>
      <w:bookmarkEnd w:id="224"/>
      <w:r>
        <w:rPr>
          <w:rFonts w:hint="eastAsia"/>
          <w:sz w:val="24"/>
          <w:szCs w:val="24"/>
          <w:lang w:val="en-US" w:eastAsia="zh-CN"/>
        </w:rPr>
        <w:t>技术措施</w:t>
      </w:r>
      <w:bookmarkEnd w:id="222"/>
      <w:bookmarkEnd w:id="223"/>
    </w:p>
    <w:p>
      <w:pPr>
        <w:numPr>
          <w:ilvl w:val="0"/>
          <w:numId w:val="61"/>
        </w:numPr>
        <w:spacing w:line="360" w:lineRule="auto"/>
        <w:ind w:left="425" w:leftChars="0" w:hanging="425" w:firstLineChars="0"/>
        <w:rPr>
          <w:rFonts w:hint="eastAsia" w:ascii="宋体" w:hAnsi="宋体" w:cs="Arial"/>
          <w:color w:val="000000"/>
          <w:sz w:val="24"/>
          <w:lang w:val="en-US" w:eastAsia="zh-CN"/>
        </w:rPr>
      </w:pPr>
      <w:r>
        <w:rPr>
          <w:rFonts w:hint="eastAsia" w:hAnsi="宋体" w:cs="Arial"/>
          <w:color w:val="000000"/>
          <w:sz w:val="24"/>
          <w:lang w:val="en-US" w:eastAsia="zh-CN"/>
        </w:rPr>
        <w:t>方式</w:t>
      </w:r>
      <w:r>
        <w:rPr>
          <w:rFonts w:hint="eastAsia" w:ascii="宋体" w:hAnsi="宋体" w:cs="Arial"/>
          <w:color w:val="000000"/>
          <w:sz w:val="24"/>
          <w:lang w:val="en-US" w:eastAsia="zh-CN"/>
        </w:rPr>
        <w:t>一</w:t>
      </w:r>
      <w:r>
        <w:rPr>
          <w:rFonts w:hint="eastAsia" w:hAnsi="宋体" w:cs="Arial"/>
          <w:color w:val="000000"/>
          <w:sz w:val="24"/>
          <w:lang w:val="en-US" w:eastAsia="zh-CN"/>
        </w:rPr>
        <w:t>：</w:t>
      </w:r>
      <w:r>
        <w:rPr>
          <w:rFonts w:hint="eastAsia" w:ascii="宋体" w:hAnsi="宋体" w:cs="Arial"/>
          <w:color w:val="000000"/>
          <w:sz w:val="24"/>
          <w:lang w:val="en-US" w:eastAsia="zh-CN"/>
        </w:rPr>
        <w:t>一台高清相机监控2车道3线圈检测</w:t>
      </w:r>
    </w:p>
    <w:p>
      <w:pPr>
        <w:numPr>
          <w:ilvl w:val="0"/>
          <w:numId w:val="62"/>
        </w:numPr>
        <w:spacing w:line="360" w:lineRule="auto"/>
        <w:ind w:left="1020" w:leftChars="0" w:hanging="340" w:firstLineChars="0"/>
        <w:rPr>
          <w:rFonts w:hint="eastAsia" w:ascii="宋体" w:hAnsi="宋体" w:cs="Arial"/>
          <w:color w:val="000000"/>
          <w:sz w:val="24"/>
          <w:lang w:val="en-US" w:eastAsia="zh-CN"/>
        </w:rPr>
      </w:pPr>
      <w:bookmarkStart w:id="225" w:name="OLE_LINK3"/>
      <w:bookmarkStart w:id="226" w:name="OLE_LINK1"/>
      <w:r>
        <w:rPr>
          <w:rFonts w:hint="eastAsia" w:hAnsi="宋体" w:cs="Arial"/>
          <w:color w:val="000000"/>
          <w:sz w:val="24"/>
          <w:lang w:val="en-US" w:eastAsia="zh-CN"/>
        </w:rPr>
        <w:t>安装方式：</w:t>
      </w:r>
      <w:r>
        <w:rPr>
          <w:rFonts w:hint="eastAsia" w:ascii="宋体" w:hAnsi="宋体" w:cs="Arial"/>
          <w:color w:val="000000"/>
          <w:sz w:val="24"/>
          <w:lang w:val="en-US" w:eastAsia="zh-CN"/>
        </w:rPr>
        <w:t>两车道卡口型电子警察系统标准应用方案的主机安装方式如下图所示</w:t>
      </w:r>
      <w:bookmarkEnd w:id="225"/>
      <w:bookmarkEnd w:id="226"/>
      <w:r>
        <w:rPr>
          <w:rFonts w:hint="eastAsia" w:ascii="宋体" w:hAnsi="宋体" w:cs="Arial"/>
          <w:color w:val="000000"/>
          <w:sz w:val="24"/>
          <w:lang w:val="en-US" w:eastAsia="zh-CN"/>
        </w:rPr>
        <w:t>。高清主机与闪光灯采用同杆安装的方式安装，闪光灯与主机的安装间隔距离应大于3.米。频闪灯安装在监控车道正中央。</w:t>
      </w:r>
    </w:p>
    <w:p>
      <w:pPr>
        <w:pStyle w:val="42"/>
        <w:ind w:left="0" w:leftChars="0" w:firstLine="0" w:firstLineChars="0"/>
        <w:rPr>
          <w:rFonts w:hint="eastAsia"/>
          <w:b/>
        </w:rPr>
      </w:pPr>
      <w:r>
        <w:rPr>
          <w:rFonts w:hint="eastAsia"/>
        </w:rPr>
        <w:drawing>
          <wp:inline distT="0" distB="0" distL="114300" distR="114300">
            <wp:extent cx="5213985" cy="2209165"/>
            <wp:effectExtent l="0" t="0" r="5715" b="635"/>
            <wp:docPr id="6" name="图片 3" descr="512相机监控2车道的安装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512相机监控2车道的安装示意图"/>
                    <pic:cNvPicPr>
                      <a:picLocks noChangeAspect="1"/>
                    </pic:cNvPicPr>
                  </pic:nvPicPr>
                  <pic:blipFill>
                    <a:blip r:embed="rId12"/>
                    <a:stretch>
                      <a:fillRect/>
                    </a:stretch>
                  </pic:blipFill>
                  <pic:spPr>
                    <a:xfrm>
                      <a:off x="0" y="0"/>
                      <a:ext cx="5213985" cy="2209165"/>
                    </a:xfrm>
                    <a:prstGeom prst="rect">
                      <a:avLst/>
                    </a:prstGeom>
                    <a:noFill/>
                    <a:ln>
                      <a:noFill/>
                    </a:ln>
                  </pic:spPr>
                </pic:pic>
              </a:graphicData>
            </a:graphic>
          </wp:inline>
        </w:drawing>
      </w:r>
    </w:p>
    <w:p>
      <w:pPr>
        <w:pStyle w:val="42"/>
        <w:ind w:left="0" w:leftChars="0" w:firstLine="0" w:firstLineChars="0"/>
        <w:jc w:val="center"/>
        <w:rPr>
          <w:rFonts w:hint="eastAsia"/>
          <w:b/>
        </w:rPr>
      </w:pPr>
      <w:r>
        <w:drawing>
          <wp:inline distT="0" distB="0" distL="114300" distR="114300">
            <wp:extent cx="3482340" cy="4506595"/>
            <wp:effectExtent l="0" t="0" r="10160" b="1905"/>
            <wp:docPr id="7" name="图片 4" descr="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绘图1"/>
                    <pic:cNvPicPr>
                      <a:picLocks noChangeAspect="1"/>
                    </pic:cNvPicPr>
                  </pic:nvPicPr>
                  <pic:blipFill>
                    <a:blip r:embed="rId13"/>
                    <a:stretch>
                      <a:fillRect/>
                    </a:stretch>
                  </pic:blipFill>
                  <pic:spPr>
                    <a:xfrm>
                      <a:off x="0" y="0"/>
                      <a:ext cx="3482340" cy="4506595"/>
                    </a:xfrm>
                    <a:prstGeom prst="rect">
                      <a:avLst/>
                    </a:prstGeom>
                    <a:noFill/>
                    <a:ln>
                      <a:noFill/>
                    </a:ln>
                  </pic:spPr>
                </pic:pic>
              </a:graphicData>
            </a:graphic>
          </wp:inline>
        </w:drawing>
      </w:r>
    </w:p>
    <w:p>
      <w:pPr>
        <w:numPr>
          <w:ilvl w:val="0"/>
          <w:numId w:val="62"/>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安装尺寸说明：主机安装杆距离停车线21米；主机安装杆的高度6米；主机安装于监控车道的正中央；频闪灯采用侧面补光的方式，安装位置距离监控车道正中央2.5米以上；高清相机与闪光灯的间隔距离大于3米。</w:t>
      </w:r>
    </w:p>
    <w:p>
      <w:pPr>
        <w:numPr>
          <w:ilvl w:val="0"/>
          <w:numId w:val="61"/>
        </w:numPr>
        <w:spacing w:line="360" w:lineRule="auto"/>
        <w:ind w:left="425" w:leftChars="0" w:hanging="425" w:firstLineChars="0"/>
        <w:rPr>
          <w:rFonts w:hint="eastAsia" w:ascii="宋体" w:hAnsi="宋体" w:cs="Arial"/>
          <w:color w:val="000000"/>
          <w:sz w:val="24"/>
          <w:lang w:val="en-US" w:eastAsia="zh-CN"/>
        </w:rPr>
      </w:pPr>
      <w:r>
        <w:rPr>
          <w:rFonts w:hint="eastAsia" w:hAnsi="宋体" w:cs="Arial"/>
          <w:color w:val="000000"/>
          <w:sz w:val="24"/>
          <w:lang w:val="en-US" w:eastAsia="zh-CN"/>
        </w:rPr>
        <w:t>方式二：</w:t>
      </w:r>
      <w:r>
        <w:rPr>
          <w:rFonts w:hint="eastAsia" w:ascii="宋体" w:hAnsi="宋体" w:cs="Arial"/>
          <w:color w:val="000000"/>
          <w:sz w:val="24"/>
          <w:lang w:val="en-US" w:eastAsia="zh-CN"/>
        </w:rPr>
        <w:t>一台512GRB3A/GB3A高清相机监控3车道3线圈检测</w:t>
      </w:r>
    </w:p>
    <w:p>
      <w:pPr>
        <w:numPr>
          <w:ilvl w:val="0"/>
          <w:numId w:val="63"/>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三车道卡口型电子警察系统标准应用方案的主机安装方式如下图所示。一般高清主机与闪光灯同杆安装，闪光灯与主机的安装间隔距离应大于3.米，频闪灯安装在监控车道正中央。</w:t>
      </w:r>
    </w:p>
    <w:p>
      <w:pPr>
        <w:numPr>
          <w:ilvl w:val="0"/>
          <w:numId w:val="0"/>
        </w:numPr>
        <w:spacing w:line="360" w:lineRule="auto"/>
        <w:rPr>
          <w:rFonts w:hint="eastAsia"/>
        </w:rPr>
      </w:pPr>
      <w:r>
        <w:rPr>
          <w:rFonts w:hint="eastAsia"/>
        </w:rPr>
        <w:drawing>
          <wp:inline distT="0" distB="0" distL="114300" distR="114300">
            <wp:extent cx="5284470" cy="2239010"/>
            <wp:effectExtent l="0" t="0" r="11430" b="8890"/>
            <wp:docPr id="8" name="图片 5" descr="512相机监控2车道的安装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512相机监控2车道的安装示意图"/>
                    <pic:cNvPicPr>
                      <a:picLocks noChangeAspect="1"/>
                    </pic:cNvPicPr>
                  </pic:nvPicPr>
                  <pic:blipFill>
                    <a:blip r:embed="rId14"/>
                    <a:stretch>
                      <a:fillRect/>
                    </a:stretch>
                  </pic:blipFill>
                  <pic:spPr>
                    <a:xfrm>
                      <a:off x="0" y="0"/>
                      <a:ext cx="5284470" cy="2239010"/>
                    </a:xfrm>
                    <a:prstGeom prst="rect">
                      <a:avLst/>
                    </a:prstGeom>
                    <a:noFill/>
                    <a:ln>
                      <a:noFill/>
                    </a:ln>
                  </pic:spPr>
                </pic:pic>
              </a:graphicData>
            </a:graphic>
          </wp:inline>
        </w:drawing>
      </w:r>
    </w:p>
    <w:p>
      <w:pPr>
        <w:numPr>
          <w:ilvl w:val="0"/>
          <w:numId w:val="0"/>
        </w:numPr>
        <w:spacing w:line="360" w:lineRule="auto"/>
        <w:jc w:val="center"/>
        <w:rPr>
          <w:rFonts w:hint="eastAsia"/>
          <w:lang w:val="en-US" w:eastAsia="zh-CN"/>
        </w:rPr>
      </w:pPr>
      <w:r>
        <w:rPr>
          <w:rFonts w:hint="eastAsia"/>
        </w:rPr>
        <w:drawing>
          <wp:inline distT="0" distB="0" distL="114300" distR="114300">
            <wp:extent cx="4058920" cy="4411980"/>
            <wp:effectExtent l="0" t="0" r="5080" b="7620"/>
            <wp:docPr id="9" name="图片 6" descr="3车道俯视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3车道俯视图"/>
                    <pic:cNvPicPr>
                      <a:picLocks noChangeAspect="1"/>
                    </pic:cNvPicPr>
                  </pic:nvPicPr>
                  <pic:blipFill>
                    <a:blip r:embed="rId15"/>
                    <a:stretch>
                      <a:fillRect/>
                    </a:stretch>
                  </pic:blipFill>
                  <pic:spPr>
                    <a:xfrm>
                      <a:off x="0" y="0"/>
                      <a:ext cx="4058920" cy="4411980"/>
                    </a:xfrm>
                    <a:prstGeom prst="rect">
                      <a:avLst/>
                    </a:prstGeom>
                    <a:noFill/>
                    <a:ln>
                      <a:noFill/>
                    </a:ln>
                  </pic:spPr>
                </pic:pic>
              </a:graphicData>
            </a:graphic>
          </wp:inline>
        </w:drawing>
      </w:r>
    </w:p>
    <w:p>
      <w:pPr>
        <w:numPr>
          <w:ilvl w:val="0"/>
          <w:numId w:val="61"/>
        </w:numPr>
        <w:spacing w:line="360" w:lineRule="auto"/>
        <w:ind w:left="425" w:leftChars="0" w:hanging="425" w:firstLineChars="0"/>
        <w:rPr>
          <w:rFonts w:hint="eastAsia" w:hAnsi="宋体" w:cs="Arial"/>
          <w:color w:val="000000"/>
          <w:sz w:val="24"/>
          <w:lang w:val="en-US" w:eastAsia="zh-CN"/>
        </w:rPr>
      </w:pPr>
      <w:bookmarkStart w:id="227" w:name="_Toc282775362"/>
      <w:bookmarkStart w:id="228" w:name="_Toc282771709"/>
      <w:r>
        <w:rPr>
          <w:rFonts w:hint="eastAsia" w:hAnsi="宋体" w:cs="Arial"/>
          <w:color w:val="000000"/>
          <w:sz w:val="24"/>
          <w:lang w:val="en-US" w:eastAsia="zh-CN"/>
        </w:rPr>
        <w:t>方案说明</w:t>
      </w:r>
      <w:bookmarkEnd w:id="227"/>
      <w:bookmarkEnd w:id="228"/>
    </w:p>
    <w:p>
      <w:pPr>
        <w:numPr>
          <w:ilvl w:val="0"/>
          <w:numId w:val="64"/>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要求一台信号检测器只能连接一台高清相机。</w:t>
      </w:r>
    </w:p>
    <w:p>
      <w:pPr>
        <w:numPr>
          <w:ilvl w:val="0"/>
          <w:numId w:val="64"/>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卡口模式下抓拍的图片，要求图片可以看清车牌、车型；电警模式下抓拍的图片来记录车辆行驶的违法轨迹，图片可以看清车牌、车型、车身颜色、车道分割线、停车线、红绿灯等等车辆违法判定的基本元素。</w:t>
      </w:r>
    </w:p>
    <w:p>
      <w:pPr>
        <w:numPr>
          <w:ilvl w:val="0"/>
          <w:numId w:val="64"/>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实现闪光灯分路功能，区分卡口模式下与电警模式下的图片补光。卡口模式下要求采用频闪灯的爆闪功能来给图片补光；电警模式下采用闪光灯的爆闪来给图片补光。</w:t>
      </w:r>
    </w:p>
    <w:p>
      <w:pPr>
        <w:numPr>
          <w:ilvl w:val="0"/>
          <w:numId w:val="64"/>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实现闪光灯按照车道补光要求来进行补光。降低频闪灯以及闪光灯的使用率，增加频闪灯及闪光灯的使用寿命。</w:t>
      </w:r>
    </w:p>
    <w:p>
      <w:pPr>
        <w:numPr>
          <w:ilvl w:val="0"/>
          <w:numId w:val="61"/>
        </w:numPr>
        <w:spacing w:line="360" w:lineRule="auto"/>
        <w:ind w:left="425" w:leftChars="0" w:hanging="425" w:firstLineChars="0"/>
        <w:rPr>
          <w:rFonts w:hint="eastAsia" w:hAnsi="宋体" w:cs="Arial"/>
          <w:color w:val="000000"/>
          <w:sz w:val="24"/>
          <w:lang w:val="en-US" w:eastAsia="zh-CN"/>
        </w:rPr>
      </w:pPr>
      <w:bookmarkStart w:id="229" w:name="_Toc282771710"/>
      <w:bookmarkStart w:id="230" w:name="_Toc282775363"/>
      <w:r>
        <w:rPr>
          <w:rFonts w:hint="eastAsia" w:hAnsi="宋体" w:cs="Arial"/>
          <w:color w:val="000000"/>
          <w:sz w:val="24"/>
          <w:lang w:val="en-US" w:eastAsia="zh-CN"/>
        </w:rPr>
        <w:t>监控多车道时不同相机同杆安装的特别注意事项提醒</w:t>
      </w:r>
      <w:bookmarkEnd w:id="229"/>
      <w:bookmarkEnd w:id="230"/>
    </w:p>
    <w:p>
      <w:pPr>
        <w:numPr>
          <w:ilvl w:val="0"/>
          <w:numId w:val="65"/>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当路段大于5车道时，只有采用一套监控2车道卡口型电子警察系统与一套监控3车道卡口型电子警察系统的方案来做，此时的2车道高清相机与3车道高清相机必须同杆安装。由于2车道相机与3车道相机在标准《卡口型电子警察系统施工方案》中的安装距离不一样，因此，当碰到采用不同相机的两套系统需同杆安装时，3车道高清相机的安装距离参照2车道高清相机的安装距离来施工。</w:t>
      </w:r>
    </w:p>
    <w:p>
      <w:pPr>
        <w:numPr>
          <w:ilvl w:val="0"/>
          <w:numId w:val="61"/>
        </w:numPr>
        <w:spacing w:line="360" w:lineRule="auto"/>
        <w:ind w:left="425" w:leftChars="0" w:hanging="425" w:firstLineChars="0"/>
        <w:rPr>
          <w:rFonts w:hint="eastAsia" w:hAnsi="宋体" w:cs="Arial"/>
          <w:color w:val="000000"/>
          <w:sz w:val="24"/>
          <w:lang w:val="en-US" w:eastAsia="zh-CN"/>
        </w:rPr>
      </w:pPr>
      <w:r>
        <w:rPr>
          <w:rFonts w:hint="eastAsia" w:hAnsi="宋体" w:cs="Arial"/>
          <w:color w:val="000000"/>
          <w:sz w:val="24"/>
          <w:lang w:val="en-US" w:eastAsia="zh-CN"/>
        </w:rPr>
        <w:t>安装步骤及要求：严格按照安装图纸进行安装；安装前应对所装设备通电检查；安装质量应符合相关的要求；安装前，应通电检测摄像机及镜头工作是否正常并进行粗调及后焦距的调整，摄像机与镜头处于正常工作状态后，方可安装；检查云台的水平、垂直转动角度，检查防护罩的紧固情况及雨刷动作，检查云台、支架 的安装尺寸；在搬动、架设摄像机的过程中，不得打开镜头盖；摄像机、云台的安装应牢固、稳固；电源、传输线均应固定，且留有余地，以不影响摄像机的转动为宜；初步安装好后，通电试看，进行细分检查各项功能，观察监视区域的图像质量，符合要求后再进行固定；摄像机转动过程尽可能避免逆光摄像；室外摄像机若明显高于周围建筑物时，应加避雷措施。</w:t>
      </w:r>
    </w:p>
    <w:p>
      <w:pPr>
        <w:pStyle w:val="7"/>
        <w:bidi w:val="0"/>
        <w:ind w:left="340" w:leftChars="100" w:firstLine="0" w:firstLineChars="0"/>
        <w:rPr>
          <w:rFonts w:hint="eastAsia"/>
          <w:sz w:val="24"/>
          <w:szCs w:val="24"/>
          <w:lang w:val="en-US" w:eastAsia="zh-CN"/>
        </w:rPr>
      </w:pPr>
      <w:bookmarkStart w:id="231" w:name="_Toc261873864"/>
      <w:bookmarkStart w:id="232" w:name="_Toc282775364"/>
      <w:bookmarkStart w:id="233" w:name="_Toc276987059"/>
      <w:bookmarkStart w:id="234" w:name="_Toc282771711"/>
      <w:bookmarkStart w:id="235" w:name="_Toc15280"/>
      <w:bookmarkStart w:id="236" w:name="_Toc3831"/>
      <w:r>
        <w:rPr>
          <w:rFonts w:hint="eastAsia"/>
          <w:sz w:val="24"/>
          <w:szCs w:val="24"/>
          <w:lang w:val="en-US" w:eastAsia="zh-CN"/>
        </w:rPr>
        <w:t>2.2.8.2 线圈和杆件施工</w:t>
      </w:r>
      <w:bookmarkEnd w:id="231"/>
      <w:bookmarkEnd w:id="232"/>
      <w:bookmarkEnd w:id="233"/>
      <w:bookmarkEnd w:id="234"/>
      <w:r>
        <w:rPr>
          <w:rFonts w:hint="eastAsia"/>
          <w:sz w:val="24"/>
          <w:szCs w:val="24"/>
          <w:lang w:val="en-US" w:eastAsia="zh-CN"/>
        </w:rPr>
        <w:t>技术措施</w:t>
      </w:r>
      <w:bookmarkEnd w:id="235"/>
      <w:bookmarkEnd w:id="236"/>
    </w:p>
    <w:p>
      <w:pPr>
        <w:numPr>
          <w:ilvl w:val="0"/>
          <w:numId w:val="66"/>
        </w:numPr>
        <w:spacing w:line="360" w:lineRule="auto"/>
        <w:ind w:left="425" w:leftChars="0" w:hanging="425" w:firstLineChars="0"/>
        <w:rPr>
          <w:rFonts w:hint="eastAsia" w:hAnsi="宋体" w:cs="Arial"/>
          <w:color w:val="000000"/>
          <w:sz w:val="24"/>
          <w:lang w:val="en-US" w:eastAsia="zh-CN"/>
        </w:rPr>
      </w:pPr>
      <w:bookmarkStart w:id="237" w:name="_Toc282775367"/>
      <w:r>
        <w:rPr>
          <w:rFonts w:hint="eastAsia" w:hAnsi="宋体" w:cs="Arial"/>
          <w:color w:val="000000"/>
          <w:sz w:val="24"/>
          <w:lang w:val="en-US" w:eastAsia="zh-CN"/>
        </w:rPr>
        <w:t>环形线圈的尺寸及线圈间距</w:t>
      </w:r>
      <w:bookmarkEnd w:id="237"/>
    </w:p>
    <w:p>
      <w:pPr>
        <w:pStyle w:val="42"/>
        <w:ind w:firstLine="480"/>
        <w:rPr>
          <w:rFonts w:hint="eastAsia"/>
          <w:lang w:val="en-US" w:eastAsia="zh-CN"/>
        </w:rPr>
      </w:pPr>
      <w:r>
        <w:rPr>
          <w:rFonts w:hint="eastAsia"/>
        </w:rPr>
        <w:t>环形线圈的宽度取决于车道宽度，通常是覆盖一个车道宽度的65%～75%，不应小于0.5米。典型宽度是3.75米宽车道，环行线圈2.75米宽，长度（车行驶方向上）0.6米。一般环型线圈宽度=车道宽度–2 * 0.5米，线圈距车道的边沿0.5米距离，具体如</w:t>
      </w:r>
      <w:r>
        <w:rPr>
          <w:rFonts w:hint="eastAsia"/>
          <w:lang w:eastAsia="zh-CN"/>
        </w:rPr>
        <w:t>下</w:t>
      </w:r>
      <w:r>
        <w:rPr>
          <w:rFonts w:hint="eastAsia"/>
        </w:rPr>
        <w:t>图所示。</w:t>
      </w:r>
    </w:p>
    <w:p>
      <w:pPr>
        <w:widowControl w:val="0"/>
        <w:numPr>
          <w:ilvl w:val="0"/>
          <w:numId w:val="0"/>
        </w:numPr>
        <w:spacing w:line="360" w:lineRule="auto"/>
        <w:jc w:val="both"/>
      </w:pPr>
      <w:r>
        <w:drawing>
          <wp:inline distT="0" distB="0" distL="114300" distR="114300">
            <wp:extent cx="5306695" cy="6609080"/>
            <wp:effectExtent l="0" t="0" r="1905" b="762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6"/>
                    <a:srcRect l="33518" t="22075" r="36412" b="11359"/>
                    <a:stretch>
                      <a:fillRect/>
                    </a:stretch>
                  </pic:blipFill>
                  <pic:spPr>
                    <a:xfrm>
                      <a:off x="0" y="0"/>
                      <a:ext cx="5306695" cy="6609080"/>
                    </a:xfrm>
                    <a:prstGeom prst="rect">
                      <a:avLst/>
                    </a:prstGeom>
                    <a:noFill/>
                    <a:ln>
                      <a:noFill/>
                    </a:ln>
                  </pic:spPr>
                </pic:pic>
              </a:graphicData>
            </a:graphic>
          </wp:inline>
        </w:drawing>
      </w:r>
    </w:p>
    <w:p>
      <w:pPr>
        <w:widowControl w:val="0"/>
        <w:numPr>
          <w:ilvl w:val="0"/>
          <w:numId w:val="0"/>
        </w:numPr>
        <w:spacing w:line="360" w:lineRule="auto"/>
        <w:jc w:val="both"/>
        <w:rPr>
          <w:rFonts w:hint="eastAsia"/>
          <w:lang w:val="en-US" w:eastAsia="zh-CN"/>
        </w:rPr>
      </w:pPr>
    </w:p>
    <w:p>
      <w:pPr>
        <w:rPr>
          <w:rFonts w:hint="eastAsia" w:hAnsi="宋体" w:cs="Arial"/>
          <w:color w:val="000000"/>
          <w:sz w:val="24"/>
          <w:lang w:val="en-US" w:eastAsia="zh-CN"/>
        </w:rPr>
      </w:pPr>
      <w:bookmarkStart w:id="238" w:name="_Toc282775368"/>
      <w:r>
        <w:rPr>
          <w:rFonts w:hint="eastAsia" w:hAnsi="宋体" w:cs="Arial"/>
          <w:color w:val="000000"/>
          <w:sz w:val="24"/>
          <w:lang w:val="en-US" w:eastAsia="zh-CN"/>
        </w:rPr>
        <w:br w:type="page"/>
      </w:r>
    </w:p>
    <w:p>
      <w:pPr>
        <w:numPr>
          <w:ilvl w:val="0"/>
          <w:numId w:val="66"/>
        </w:numPr>
        <w:spacing w:line="360" w:lineRule="auto"/>
        <w:ind w:left="425" w:leftChars="0" w:hanging="425" w:firstLineChars="0"/>
        <w:rPr>
          <w:rFonts w:hint="eastAsia" w:hAnsi="宋体" w:cs="Arial"/>
          <w:color w:val="000000"/>
          <w:sz w:val="24"/>
          <w:lang w:val="en-US" w:eastAsia="zh-CN"/>
        </w:rPr>
      </w:pPr>
      <w:r>
        <w:rPr>
          <w:rFonts w:hint="eastAsia" w:hAnsi="宋体" w:cs="Arial"/>
          <w:color w:val="000000"/>
          <w:sz w:val="24"/>
          <w:lang w:val="en-US" w:eastAsia="zh-CN"/>
        </w:rPr>
        <w:t>特殊点位线圈切割注意事项</w:t>
      </w:r>
      <w:bookmarkEnd w:id="238"/>
    </w:p>
    <w:p>
      <w:pPr>
        <w:pStyle w:val="42"/>
        <w:ind w:firstLine="480"/>
        <w:rPr>
          <w:rFonts w:hint="eastAsia"/>
        </w:rPr>
      </w:pPr>
      <w:r>
        <w:rPr>
          <w:rFonts w:hint="eastAsia"/>
        </w:rPr>
        <w:t>特殊点位是指该点位与平时施工的点位有一些不同之处，例如以下几种情况：</w:t>
      </w:r>
    </w:p>
    <w:p>
      <w:pPr>
        <w:numPr>
          <w:ilvl w:val="0"/>
          <w:numId w:val="67"/>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停车线与车辆行驶方向呈45°斜角，如下图所示：</w:t>
      </w:r>
    </w:p>
    <w:p>
      <w:pPr>
        <w:pStyle w:val="44"/>
        <w:tabs>
          <w:tab w:val="left" w:pos="9617"/>
          <w:tab w:val="left" w:pos="9900"/>
        </w:tabs>
        <w:ind w:left="0" w:right="493" w:rightChars="145" w:firstLine="0"/>
        <w:jc w:val="center"/>
        <w:rPr>
          <w:rFonts w:hint="eastAsia" w:ascii="宋体" w:hAnsi="宋体"/>
          <w:szCs w:val="21"/>
        </w:rPr>
      </w:pPr>
      <w:r>
        <w:rPr>
          <w:rFonts w:hint="eastAsia" w:ascii="宋体" w:hAnsi="宋体"/>
          <w:szCs w:val="21"/>
        </w:rPr>
        <w:drawing>
          <wp:inline distT="0" distB="0" distL="114300" distR="114300">
            <wp:extent cx="5333365" cy="3131820"/>
            <wp:effectExtent l="0" t="0" r="635" b="5080"/>
            <wp:docPr id="14" name="图片 8" descr="特殊点位（呈45°斜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descr="特殊点位（呈45°斜角）"/>
                    <pic:cNvPicPr>
                      <a:picLocks noChangeAspect="1"/>
                    </pic:cNvPicPr>
                  </pic:nvPicPr>
                  <pic:blipFill>
                    <a:blip r:embed="rId17"/>
                    <a:stretch>
                      <a:fillRect/>
                    </a:stretch>
                  </pic:blipFill>
                  <pic:spPr>
                    <a:xfrm>
                      <a:off x="0" y="0"/>
                      <a:ext cx="5333365" cy="3131820"/>
                    </a:xfrm>
                    <a:prstGeom prst="rect">
                      <a:avLst/>
                    </a:prstGeom>
                    <a:noFill/>
                    <a:ln>
                      <a:noFill/>
                    </a:ln>
                  </pic:spPr>
                </pic:pic>
              </a:graphicData>
            </a:graphic>
          </wp:inline>
        </w:drawing>
      </w:r>
    </w:p>
    <w:p>
      <w:pPr>
        <w:pStyle w:val="44"/>
        <w:tabs>
          <w:tab w:val="left" w:pos="9617"/>
          <w:tab w:val="left" w:pos="9900"/>
        </w:tabs>
        <w:ind w:left="0" w:right="493" w:rightChars="145" w:firstLine="0"/>
        <w:jc w:val="center"/>
        <w:rPr>
          <w:rFonts w:hint="eastAsia" w:ascii="宋体" w:hAnsi="宋体"/>
          <w:szCs w:val="21"/>
        </w:rPr>
      </w:pPr>
    </w:p>
    <w:p>
      <w:pPr>
        <w:numPr>
          <w:ilvl w:val="0"/>
          <w:numId w:val="67"/>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同一点位不同车道的停车线呈阶梯状，如下图所示：</w:t>
      </w:r>
    </w:p>
    <w:p>
      <w:pPr>
        <w:pStyle w:val="44"/>
        <w:tabs>
          <w:tab w:val="left" w:pos="9617"/>
          <w:tab w:val="left" w:pos="9900"/>
        </w:tabs>
        <w:ind w:left="0" w:right="493" w:rightChars="145" w:firstLine="0"/>
        <w:jc w:val="center"/>
        <w:rPr>
          <w:rFonts w:hint="eastAsia" w:ascii="宋体" w:hAnsi="宋体"/>
          <w:szCs w:val="21"/>
        </w:rPr>
      </w:pPr>
      <w:r>
        <w:rPr>
          <w:rFonts w:hint="eastAsia" w:ascii="宋体" w:hAnsi="宋体"/>
          <w:szCs w:val="21"/>
        </w:rPr>
        <w:drawing>
          <wp:inline distT="0" distB="0" distL="114300" distR="114300">
            <wp:extent cx="5103495" cy="3003550"/>
            <wp:effectExtent l="0" t="0" r="1905" b="6350"/>
            <wp:docPr id="13" name="图片 9" descr="特殊点位（呈阶梯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特殊点位（呈阶梯状）"/>
                    <pic:cNvPicPr>
                      <a:picLocks noChangeAspect="1"/>
                    </pic:cNvPicPr>
                  </pic:nvPicPr>
                  <pic:blipFill>
                    <a:blip r:embed="rId18"/>
                    <a:stretch>
                      <a:fillRect/>
                    </a:stretch>
                  </pic:blipFill>
                  <pic:spPr>
                    <a:xfrm>
                      <a:off x="0" y="0"/>
                      <a:ext cx="5103495" cy="3003550"/>
                    </a:xfrm>
                    <a:prstGeom prst="rect">
                      <a:avLst/>
                    </a:prstGeom>
                    <a:noFill/>
                    <a:ln>
                      <a:noFill/>
                    </a:ln>
                  </pic:spPr>
                </pic:pic>
              </a:graphicData>
            </a:graphic>
          </wp:inline>
        </w:drawing>
      </w:r>
    </w:p>
    <w:p>
      <w:pPr>
        <w:pStyle w:val="44"/>
        <w:tabs>
          <w:tab w:val="left" w:pos="9617"/>
          <w:tab w:val="left" w:pos="9900"/>
        </w:tabs>
        <w:ind w:left="0" w:right="493" w:rightChars="145" w:firstLine="0"/>
        <w:jc w:val="center"/>
        <w:rPr>
          <w:rFonts w:hint="eastAsia" w:ascii="宋体" w:hAnsi="宋体"/>
          <w:szCs w:val="21"/>
        </w:rPr>
      </w:pPr>
    </w:p>
    <w:p>
      <w:pPr>
        <w:rPr>
          <w:rFonts w:hint="eastAsia" w:hAnsi="宋体" w:cs="Arial"/>
          <w:color w:val="000000"/>
          <w:sz w:val="24"/>
          <w:lang w:val="en-US" w:eastAsia="zh-CN"/>
        </w:rPr>
      </w:pPr>
      <w:r>
        <w:rPr>
          <w:rFonts w:hint="eastAsia" w:hAnsi="宋体" w:cs="Arial"/>
          <w:color w:val="000000"/>
          <w:sz w:val="24"/>
          <w:lang w:val="en-US" w:eastAsia="zh-CN"/>
        </w:rPr>
        <w:br w:type="page"/>
      </w:r>
    </w:p>
    <w:p>
      <w:pPr>
        <w:numPr>
          <w:ilvl w:val="0"/>
          <w:numId w:val="67"/>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主机监控车道为弯道，如下图所示：</w:t>
      </w:r>
    </w:p>
    <w:p>
      <w:pPr>
        <w:pStyle w:val="44"/>
        <w:tabs>
          <w:tab w:val="left" w:pos="9617"/>
          <w:tab w:val="left" w:pos="9900"/>
        </w:tabs>
        <w:ind w:left="0" w:right="493" w:rightChars="145" w:firstLine="0"/>
        <w:jc w:val="center"/>
        <w:rPr>
          <w:rFonts w:hint="eastAsia" w:ascii="宋体" w:hAnsi="宋体"/>
          <w:szCs w:val="21"/>
        </w:rPr>
      </w:pPr>
      <w:r>
        <w:rPr>
          <w:rFonts w:hint="eastAsia" w:ascii="宋体" w:hAnsi="宋体"/>
          <w:szCs w:val="21"/>
        </w:rPr>
        <w:drawing>
          <wp:inline distT="0" distB="0" distL="114300" distR="114300">
            <wp:extent cx="3783965" cy="4008120"/>
            <wp:effectExtent l="0" t="0" r="635" b="5080"/>
            <wp:docPr id="12" name="图片 10" descr="监控车道为弯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监控车道为弯道"/>
                    <pic:cNvPicPr>
                      <a:picLocks noChangeAspect="1"/>
                    </pic:cNvPicPr>
                  </pic:nvPicPr>
                  <pic:blipFill>
                    <a:blip r:embed="rId19"/>
                    <a:stretch>
                      <a:fillRect/>
                    </a:stretch>
                  </pic:blipFill>
                  <pic:spPr>
                    <a:xfrm>
                      <a:off x="0" y="0"/>
                      <a:ext cx="3783965" cy="4008120"/>
                    </a:xfrm>
                    <a:prstGeom prst="rect">
                      <a:avLst/>
                    </a:prstGeom>
                    <a:noFill/>
                    <a:ln>
                      <a:noFill/>
                    </a:ln>
                  </pic:spPr>
                </pic:pic>
              </a:graphicData>
            </a:graphic>
          </wp:inline>
        </w:drawing>
      </w:r>
    </w:p>
    <w:p>
      <w:pPr>
        <w:pStyle w:val="44"/>
        <w:tabs>
          <w:tab w:val="left" w:pos="9617"/>
          <w:tab w:val="left" w:pos="9900"/>
        </w:tabs>
        <w:ind w:left="0" w:right="493" w:rightChars="145" w:firstLine="0"/>
        <w:jc w:val="center"/>
        <w:rPr>
          <w:rFonts w:hint="eastAsia" w:ascii="宋体" w:hAnsi="宋体"/>
          <w:szCs w:val="21"/>
        </w:rPr>
      </w:pPr>
    </w:p>
    <w:p>
      <w:pPr>
        <w:numPr>
          <w:ilvl w:val="0"/>
          <w:numId w:val="67"/>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车道实在太宽，主机不能按照标准方案的要求安装到监控车道正中央，如下图所示：</w:t>
      </w:r>
    </w:p>
    <w:p>
      <w:pPr>
        <w:pStyle w:val="44"/>
        <w:tabs>
          <w:tab w:val="left" w:pos="9617"/>
          <w:tab w:val="left" w:pos="9900"/>
        </w:tabs>
        <w:ind w:left="340" w:leftChars="100" w:right="493" w:rightChars="145" w:firstLine="0" w:firstLineChars="0"/>
        <w:jc w:val="center"/>
        <w:rPr>
          <w:rFonts w:hint="eastAsia" w:ascii="宋体" w:hAnsi="宋体"/>
          <w:szCs w:val="21"/>
        </w:rPr>
      </w:pPr>
      <w:r>
        <w:rPr>
          <w:rFonts w:hint="eastAsia" w:ascii="宋体" w:hAnsi="宋体"/>
          <w:szCs w:val="21"/>
        </w:rPr>
        <w:drawing>
          <wp:inline distT="0" distB="0" distL="114300" distR="114300">
            <wp:extent cx="4758690" cy="3126740"/>
            <wp:effectExtent l="0" t="0" r="3810" b="10160"/>
            <wp:docPr id="15" name="图片 11" descr="特殊点位（主机侧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descr="特殊点位（主机侧装）"/>
                    <pic:cNvPicPr>
                      <a:picLocks noChangeAspect="1"/>
                    </pic:cNvPicPr>
                  </pic:nvPicPr>
                  <pic:blipFill>
                    <a:blip r:embed="rId20"/>
                    <a:srcRect t="3807" r="1368"/>
                    <a:stretch>
                      <a:fillRect/>
                    </a:stretch>
                  </pic:blipFill>
                  <pic:spPr>
                    <a:xfrm>
                      <a:off x="0" y="0"/>
                      <a:ext cx="4758690" cy="3126740"/>
                    </a:xfrm>
                    <a:prstGeom prst="rect">
                      <a:avLst/>
                    </a:prstGeom>
                    <a:noFill/>
                    <a:ln>
                      <a:noFill/>
                    </a:ln>
                  </pic:spPr>
                </pic:pic>
              </a:graphicData>
            </a:graphic>
          </wp:inline>
        </w:drawing>
      </w:r>
    </w:p>
    <w:p>
      <w:pPr>
        <w:pStyle w:val="42"/>
        <w:ind w:firstLine="480"/>
        <w:rPr>
          <w:rFonts w:hint="eastAsia"/>
        </w:rPr>
      </w:pPr>
      <w:r>
        <w:rPr>
          <w:rFonts w:hint="eastAsia"/>
        </w:rPr>
        <w:t>特殊点位的线圈不能仅依据该标准方案中的线圈切割方案来进行线圈切割，需根据实际点位的特殊情况作一定的验证后，出一个符合该点位使用的线圈方案来，然后依据新方案的要求进行线圈切割。</w:t>
      </w:r>
    </w:p>
    <w:p>
      <w:pPr>
        <w:numPr>
          <w:ilvl w:val="0"/>
          <w:numId w:val="66"/>
        </w:numPr>
        <w:spacing w:line="360" w:lineRule="auto"/>
        <w:ind w:left="425" w:leftChars="0" w:hanging="425" w:firstLineChars="0"/>
        <w:rPr>
          <w:rFonts w:hint="eastAsia" w:hAnsi="宋体" w:cs="Arial"/>
          <w:color w:val="000000"/>
          <w:sz w:val="24"/>
          <w:lang w:val="en-US" w:eastAsia="zh-CN"/>
        </w:rPr>
      </w:pPr>
      <w:r>
        <w:rPr>
          <w:rFonts w:hint="eastAsia" w:hAnsi="宋体" w:cs="Arial"/>
          <w:color w:val="000000"/>
          <w:sz w:val="24"/>
          <w:lang w:val="en-US" w:eastAsia="zh-CN"/>
        </w:rPr>
        <w:t>特殊点位线圈切割方案验证的要求：</w:t>
      </w:r>
    </w:p>
    <w:p>
      <w:pPr>
        <w:numPr>
          <w:ilvl w:val="0"/>
          <w:numId w:val="68"/>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一台高清相机监控几个车道时需兼顾场景监控，场景包括：抓拍车辆都在图片之内；能看到红绿灯；</w:t>
      </w:r>
    </w:p>
    <w:p>
      <w:pPr>
        <w:numPr>
          <w:ilvl w:val="0"/>
          <w:numId w:val="68"/>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可以兼顾每车道的车牌识别。车牌识别对相机场景监控与车牌是否平行，车牌有效像素点大小是否达到车牌识别要求。</w:t>
      </w:r>
    </w:p>
    <w:p>
      <w:pPr>
        <w:numPr>
          <w:ilvl w:val="0"/>
          <w:numId w:val="66"/>
        </w:numPr>
        <w:spacing w:line="360" w:lineRule="auto"/>
        <w:ind w:left="425" w:leftChars="0" w:hanging="425" w:firstLineChars="0"/>
        <w:rPr>
          <w:rFonts w:hint="eastAsia" w:hAnsi="宋体" w:cs="Arial"/>
          <w:color w:val="000000"/>
          <w:sz w:val="24"/>
          <w:lang w:val="en-US" w:eastAsia="zh-CN"/>
        </w:rPr>
      </w:pPr>
      <w:bookmarkStart w:id="239" w:name="_Toc243566470"/>
      <w:bookmarkStart w:id="240" w:name="_Toc276987061"/>
      <w:bookmarkStart w:id="241" w:name="_Toc282775372"/>
      <w:bookmarkStart w:id="242" w:name="_Toc282771714"/>
      <w:bookmarkStart w:id="243" w:name="_Toc261873866"/>
      <w:r>
        <w:rPr>
          <w:rFonts w:hint="eastAsia" w:hAnsi="宋体" w:cs="Arial"/>
          <w:color w:val="000000"/>
          <w:sz w:val="24"/>
          <w:lang w:val="en-US" w:eastAsia="zh-CN"/>
        </w:rPr>
        <w:t>环形（传感）线圈及其馈线的安装规范</w:t>
      </w:r>
      <w:bookmarkEnd w:id="239"/>
      <w:bookmarkEnd w:id="240"/>
      <w:bookmarkEnd w:id="241"/>
      <w:bookmarkEnd w:id="242"/>
      <w:bookmarkEnd w:id="243"/>
    </w:p>
    <w:p>
      <w:pPr>
        <w:numPr>
          <w:ilvl w:val="0"/>
          <w:numId w:val="69"/>
        </w:numPr>
        <w:spacing w:line="360" w:lineRule="auto"/>
        <w:ind w:left="1020" w:leftChars="0" w:hanging="340" w:firstLineChars="0"/>
        <w:rPr>
          <w:rFonts w:hint="eastAsia" w:hAnsi="宋体" w:cs="Arial"/>
          <w:color w:val="000000"/>
          <w:sz w:val="24"/>
          <w:lang w:val="en-US" w:eastAsia="zh-CN"/>
        </w:rPr>
      </w:pPr>
      <w:bookmarkStart w:id="244" w:name="_Toc282775373"/>
      <w:r>
        <w:rPr>
          <w:rFonts w:hint="eastAsia" w:hAnsi="宋体" w:cs="Arial"/>
          <w:color w:val="000000"/>
          <w:sz w:val="24"/>
          <w:lang w:val="en-US" w:eastAsia="zh-CN"/>
        </w:rPr>
        <w:t>路面开槽</w:t>
      </w:r>
      <w:bookmarkEnd w:id="244"/>
      <w:r>
        <w:rPr>
          <w:rFonts w:hint="eastAsia" w:hAnsi="宋体" w:cs="Arial"/>
          <w:color w:val="000000"/>
          <w:sz w:val="24"/>
          <w:lang w:val="en-US" w:eastAsia="zh-CN"/>
        </w:rPr>
        <w:t>：线圈和馈线是最重要又易损坏的部分，必须给予足够的重视。开槽前应检查路面是否坚固，按照系统总体技术条件选定线圈埋设的位置后，画上开槽尺寸线，用开槽机按图施工。具体施工位置见下图。</w:t>
      </w:r>
    </w:p>
    <w:p>
      <w:pPr>
        <w:pStyle w:val="44"/>
        <w:tabs>
          <w:tab w:val="left" w:pos="9617"/>
          <w:tab w:val="left" w:pos="9900"/>
        </w:tabs>
        <w:ind w:left="0" w:leftChars="0" w:right="493" w:rightChars="145" w:firstLine="0" w:firstLineChars="0"/>
        <w:rPr>
          <w:rFonts w:hint="eastAsia"/>
          <w:color w:val="000000"/>
        </w:rPr>
      </w:pPr>
      <w:r>
        <w:rPr>
          <w:rFonts w:hint="eastAsia"/>
          <w:color w:val="000000"/>
        </w:rPr>
        <w:drawing>
          <wp:inline distT="0" distB="0" distL="114300" distR="114300">
            <wp:extent cx="5142230" cy="2906395"/>
            <wp:effectExtent l="0" t="0" r="0" b="1905"/>
            <wp:docPr id="19" name="图片 12" descr="信号检测器与环形线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信号检测器与环形线圈"/>
                    <pic:cNvPicPr>
                      <a:picLocks noChangeAspect="1"/>
                    </pic:cNvPicPr>
                  </pic:nvPicPr>
                  <pic:blipFill>
                    <a:blip r:embed="rId21"/>
                    <a:srcRect l="4405" t="33003" r="10767"/>
                    <a:stretch>
                      <a:fillRect/>
                    </a:stretch>
                  </pic:blipFill>
                  <pic:spPr>
                    <a:xfrm>
                      <a:off x="0" y="0"/>
                      <a:ext cx="5142230" cy="2906395"/>
                    </a:xfrm>
                    <a:prstGeom prst="rect">
                      <a:avLst/>
                    </a:prstGeom>
                    <a:noFill/>
                    <a:ln>
                      <a:noFill/>
                    </a:ln>
                  </pic:spPr>
                </pic:pic>
              </a:graphicData>
            </a:graphic>
          </wp:inline>
        </w:drawing>
      </w:r>
    </w:p>
    <w:p>
      <w:pPr>
        <w:pStyle w:val="44"/>
        <w:tabs>
          <w:tab w:val="left" w:pos="9617"/>
          <w:tab w:val="left" w:pos="9900"/>
        </w:tabs>
        <w:ind w:left="0" w:leftChars="0" w:right="493" w:rightChars="145" w:firstLine="0" w:firstLineChars="0"/>
        <w:rPr>
          <w:rFonts w:hint="eastAsia"/>
          <w:color w:val="000000"/>
        </w:rPr>
      </w:pPr>
    </w:p>
    <w:p>
      <w:pPr>
        <w:numPr>
          <w:ilvl w:val="0"/>
          <w:numId w:val="69"/>
        </w:numPr>
        <w:spacing w:line="360" w:lineRule="auto"/>
        <w:ind w:left="1020" w:leftChars="0" w:hanging="340" w:firstLineChars="0"/>
        <w:rPr>
          <w:rFonts w:hint="eastAsia" w:hAnsi="宋体" w:cs="Arial"/>
          <w:color w:val="000000"/>
          <w:sz w:val="24"/>
          <w:lang w:val="en-US" w:eastAsia="zh-CN"/>
        </w:rPr>
      </w:pPr>
      <w:bookmarkStart w:id="245" w:name="_Toc282775374"/>
      <w:r>
        <w:rPr>
          <w:rFonts w:hint="eastAsia" w:hAnsi="宋体" w:cs="Arial"/>
          <w:color w:val="000000"/>
          <w:sz w:val="24"/>
          <w:lang w:val="en-US" w:eastAsia="zh-CN"/>
        </w:rPr>
        <w:t xml:space="preserve"> 开槽顺序</w:t>
      </w:r>
      <w:bookmarkEnd w:id="245"/>
      <w:r>
        <w:rPr>
          <w:rFonts w:hint="eastAsia" w:hAnsi="宋体" w:cs="Arial"/>
          <w:color w:val="000000"/>
          <w:sz w:val="24"/>
          <w:lang w:val="en-US" w:eastAsia="zh-CN"/>
        </w:rPr>
        <w:t>：首先应当先切割距路边最远的线圈槽和引线槽，这样避免导线的交叉和减少导线接头。</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46" w:name="_Toc282775375"/>
      <w:r>
        <w:rPr>
          <w:rFonts w:hint="eastAsia" w:hAnsi="宋体" w:cs="Arial"/>
          <w:color w:val="000000"/>
          <w:sz w:val="24"/>
          <w:lang w:val="en-US" w:eastAsia="zh-CN"/>
        </w:rPr>
        <w:t>槽的几何尺寸</w:t>
      </w:r>
      <w:bookmarkEnd w:id="246"/>
      <w:r>
        <w:rPr>
          <w:rFonts w:hint="eastAsia" w:hAnsi="宋体" w:cs="Arial"/>
          <w:color w:val="000000"/>
          <w:sz w:val="24"/>
          <w:lang w:val="en-US" w:eastAsia="zh-CN"/>
        </w:rPr>
        <w:t>：环形线圈槽及导线的剖面，用开槽机开槽一直开到路边窨井附近，槽深为50mm-60mm，槽宽为4-8mm左右，在钢筋混凝土车道上埋设线圈时既要保证一定的深度，又要与钢筋保持一定的距离（不小于50厘米），开槽时尽可能两者兼顾。为了避免下线时因拐角弯度过小而损坏导线，在槽的拐角处切45o斜角，对线圈起保护作用。</w:t>
      </w:r>
      <w:bookmarkStart w:id="247" w:name="_Toc282775376"/>
    </w:p>
    <w:p>
      <w:pPr>
        <w:numPr>
          <w:ilvl w:val="0"/>
          <w:numId w:val="69"/>
        </w:numPr>
        <w:spacing w:line="360" w:lineRule="auto"/>
        <w:ind w:left="1020" w:leftChars="0" w:hanging="340" w:firstLineChars="0"/>
        <w:rPr>
          <w:rFonts w:hint="eastAsia" w:hAnsi="宋体" w:cs="Arial"/>
          <w:color w:val="000000"/>
          <w:sz w:val="24"/>
          <w:lang w:val="en-US" w:eastAsia="zh-CN"/>
        </w:rPr>
      </w:pPr>
      <w:r>
        <w:rPr>
          <w:rFonts w:hint="eastAsia" w:hAnsi="宋体" w:cs="Arial"/>
          <w:color w:val="000000"/>
          <w:sz w:val="24"/>
          <w:lang w:val="en-US" w:eastAsia="zh-CN"/>
        </w:rPr>
        <w:t>槽内清理</w:t>
      </w:r>
      <w:bookmarkEnd w:id="247"/>
      <w:r>
        <w:rPr>
          <w:rFonts w:hint="eastAsia" w:hAnsi="宋体" w:cs="Arial"/>
          <w:color w:val="000000"/>
          <w:sz w:val="24"/>
          <w:lang w:val="en-US" w:eastAsia="zh-CN"/>
        </w:rPr>
        <w:t>：开槽后要对槽内进行清理，使槽内无硬渣，槽底平整，保持干燥，必须用空压机吹槽。</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48" w:name="_Toc282775377"/>
      <w:r>
        <w:rPr>
          <w:rFonts w:hint="eastAsia" w:hAnsi="宋体" w:cs="Arial"/>
          <w:color w:val="000000"/>
          <w:sz w:val="24"/>
          <w:lang w:val="en-US" w:eastAsia="zh-CN"/>
        </w:rPr>
        <w:t>环槽内下线</w:t>
      </w:r>
      <w:bookmarkEnd w:id="248"/>
      <w:r>
        <w:rPr>
          <w:rFonts w:hint="eastAsia" w:hAnsi="宋体" w:cs="Arial"/>
          <w:color w:val="000000"/>
          <w:sz w:val="24"/>
          <w:lang w:val="en-US" w:eastAsia="zh-CN"/>
        </w:rPr>
        <w:t>：用FVN/2.5平方毫米聚氯乙烯绝缘尼龙护套线，在路边窨井中预留成1.5米后再引至槽边，在其中按顺时针紧绕圈，再将另一端引到路边窨井中，从环形线圈到窨井中的馈线部分，两线端应以每米20绞的频率相互对绞，导线下槽后用钝物将其压实（不准用尖锐利器捣压），最后在井窖中将导线抽头标上记号。</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49" w:name="_Toc282775378"/>
      <w:r>
        <w:rPr>
          <w:rFonts w:hint="eastAsia" w:hAnsi="宋体" w:cs="Arial"/>
          <w:color w:val="000000"/>
          <w:sz w:val="24"/>
          <w:lang w:val="en-US" w:eastAsia="zh-CN"/>
        </w:rPr>
        <w:t>馈线的长度</w:t>
      </w:r>
      <w:bookmarkEnd w:id="249"/>
      <w:r>
        <w:rPr>
          <w:rFonts w:hint="eastAsia" w:hAnsi="宋体" w:cs="Arial"/>
          <w:color w:val="000000"/>
          <w:sz w:val="24"/>
          <w:lang w:val="en-US" w:eastAsia="zh-CN"/>
        </w:rPr>
        <w:t>：检测器用规定的馈线，其长度可50—300米之间，不要超出此范围，否则会影响检测效果。</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50" w:name="_Toc282775379"/>
      <w:r>
        <w:rPr>
          <w:rFonts w:hint="eastAsia" w:hAnsi="宋体" w:cs="Arial"/>
          <w:color w:val="000000"/>
          <w:sz w:val="24"/>
          <w:lang w:val="en-US" w:eastAsia="zh-CN"/>
        </w:rPr>
        <w:t>填槽</w:t>
      </w:r>
      <w:bookmarkEnd w:id="250"/>
      <w:r>
        <w:rPr>
          <w:rFonts w:hint="eastAsia" w:hAnsi="宋体" w:cs="Arial"/>
          <w:color w:val="000000"/>
          <w:sz w:val="24"/>
          <w:lang w:val="en-US" w:eastAsia="zh-CN"/>
        </w:rPr>
        <w:t>：首先要保证槽和电缆洁净、干燥，并测量线圈无短路现象才可封槽。</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51" w:name="_Toc282775380"/>
      <w:r>
        <w:rPr>
          <w:rFonts w:hint="eastAsia" w:hAnsi="宋体" w:cs="Arial"/>
          <w:color w:val="000000"/>
          <w:sz w:val="24"/>
          <w:lang w:val="en-US" w:eastAsia="zh-CN"/>
        </w:rPr>
        <w:t>浇注方法</w:t>
      </w:r>
      <w:bookmarkEnd w:id="251"/>
      <w:r>
        <w:rPr>
          <w:rFonts w:hint="eastAsia" w:hAnsi="宋体" w:cs="Arial"/>
          <w:color w:val="000000"/>
          <w:sz w:val="24"/>
          <w:lang w:val="en-US" w:eastAsia="zh-CN"/>
        </w:rPr>
        <w:t>：先用冷浇法，使用环氧树脂使槽内数匝线圈互相粘合保证可靠性，稍等片刻，用热浇法把沥清混合物填入槽内，浇注时要注意沥清温度不能过高（一般80℃左右），并且要灌实不能有气泡，以免影响电参数。</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52" w:name="_Toc282775381"/>
      <w:r>
        <w:rPr>
          <w:rFonts w:hint="eastAsia" w:hAnsi="宋体" w:cs="Arial"/>
          <w:color w:val="000000"/>
          <w:sz w:val="24"/>
          <w:lang w:val="en-US" w:eastAsia="zh-CN"/>
        </w:rPr>
        <w:t>环形线圈的测试</w:t>
      </w:r>
      <w:bookmarkEnd w:id="252"/>
      <w:r>
        <w:rPr>
          <w:rFonts w:hint="eastAsia" w:hAnsi="宋体" w:cs="Arial"/>
          <w:color w:val="000000"/>
          <w:sz w:val="24"/>
          <w:lang w:val="en-US" w:eastAsia="zh-CN"/>
        </w:rPr>
        <w:t>：（1）埋设好的线圈（4匝）首先用三用表测其直流电阻在1—2Ω之间，如果短路或断路须重新埋设。（2）埋设好的环形线圈都应用500V直流高阻表测试其对地的电阻，在500V直流电压下其绝缘电阻应≥10MΩ。</w:t>
      </w:r>
    </w:p>
    <w:p>
      <w:pPr>
        <w:numPr>
          <w:ilvl w:val="0"/>
          <w:numId w:val="69"/>
        </w:numPr>
        <w:spacing w:line="360" w:lineRule="auto"/>
        <w:ind w:left="1020" w:leftChars="0" w:hanging="340" w:firstLineChars="0"/>
        <w:rPr>
          <w:rFonts w:hint="eastAsia" w:hAnsi="宋体" w:cs="Arial"/>
          <w:color w:val="000000"/>
          <w:sz w:val="24"/>
          <w:lang w:val="en-US" w:eastAsia="zh-CN"/>
        </w:rPr>
      </w:pPr>
      <w:bookmarkStart w:id="253" w:name="_Toc282775382"/>
      <w:r>
        <w:rPr>
          <w:rFonts w:hint="eastAsia" w:hAnsi="宋体" w:cs="Arial"/>
          <w:color w:val="000000"/>
          <w:sz w:val="24"/>
          <w:lang w:val="en-US" w:eastAsia="zh-CN"/>
        </w:rPr>
        <w:t>线圈和馈线的连接和接头处理</w:t>
      </w:r>
      <w:bookmarkEnd w:id="253"/>
      <w:r>
        <w:rPr>
          <w:rFonts w:hint="eastAsia" w:hAnsi="宋体" w:cs="Arial"/>
          <w:color w:val="000000"/>
          <w:sz w:val="24"/>
          <w:lang w:val="en-US" w:eastAsia="zh-CN"/>
        </w:rPr>
        <w:t>：</w:t>
      </w:r>
      <w:r>
        <w:rPr>
          <w:rFonts w:hint="eastAsia" w:hAnsi="宋体" w:cs="Arial"/>
          <w:color w:val="000000"/>
          <w:sz w:val="24"/>
          <w:lang w:val="en-US" w:eastAsia="zh-CN"/>
        </w:rPr>
        <mc:AlternateContent>
          <mc:Choice Requires="wps">
            <w:drawing>
              <wp:anchor distT="0" distB="0" distL="114300" distR="114300" simplePos="0" relativeHeight="251664384" behindDoc="0" locked="0" layoutInCell="0" allowOverlap="1">
                <wp:simplePos x="0" y="0"/>
                <wp:positionH relativeFrom="column">
                  <wp:posOffset>685800</wp:posOffset>
                </wp:positionH>
                <wp:positionV relativeFrom="paragraph">
                  <wp:posOffset>3962400</wp:posOffset>
                </wp:positionV>
                <wp:extent cx="635" cy="0"/>
                <wp:effectExtent l="0" t="0" r="0" b="0"/>
                <wp:wrapNone/>
                <wp:docPr id="16" name="直接连接符 16"/>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312pt;height:0pt;width:0.05pt;z-index:251664384;mso-width-relative:page;mso-height-relative:page;" filled="f" stroked="t" coordsize="21600,21600" o:allowincell="f" o:gfxdata="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lftvWAAAACwEAAA8AAAAAAAAAAQAgAAAAIgAAAGRycy9kb3ducmV2LnhtbFBLAQIUABQA&#10;AAAIAIdO4kD8x1aQ8gEAAOIDAAAOAAAAAAAAAAEAIAAAACUBAABkcnMvZTJvRG9jLnhtbFBLBQYA&#10;AAAABgAGAFkBAACJBQAAAAA=&#10;">
                <v:fill on="f" focussize="0,0"/>
                <v:stroke color="#000000" joinstyle="round"/>
                <v:imagedata o:title=""/>
                <o:lock v:ext="edit" aspectratio="f"/>
              </v:line>
            </w:pict>
          </mc:Fallback>
        </mc:AlternateContent>
      </w:r>
      <w:r>
        <w:rPr>
          <w:rFonts w:hint="eastAsia" w:hAnsi="宋体" w:cs="Arial"/>
          <w:color w:val="000000"/>
          <w:sz w:val="24"/>
          <w:lang w:val="en-US" w:eastAsia="zh-CN"/>
        </w:rPr>
        <mc:AlternateContent>
          <mc:Choice Requires="wps">
            <w:drawing>
              <wp:anchor distT="0" distB="0" distL="114300" distR="114300" simplePos="0" relativeHeight="251663360" behindDoc="0" locked="0" layoutInCell="0" allowOverlap="1">
                <wp:simplePos x="0" y="0"/>
                <wp:positionH relativeFrom="column">
                  <wp:posOffset>1828800</wp:posOffset>
                </wp:positionH>
                <wp:positionV relativeFrom="paragraph">
                  <wp:posOffset>3962400</wp:posOffset>
                </wp:positionV>
                <wp:extent cx="635" cy="0"/>
                <wp:effectExtent l="0" t="0" r="0" b="0"/>
                <wp:wrapNone/>
                <wp:docPr id="18" name="直接连接符 18"/>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4pt;margin-top:312pt;height:0pt;width:0.05pt;z-index:251663360;mso-width-relative:page;mso-height-relative:page;" filled="f" stroked="t" coordsize="21600,21600" o:allowincell="f" o:gfxdata="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iVR4zWAAAACwEAAA8AAAAAAAAAAQAgAAAAIgAAAGRycy9kb3ducmV2LnhtbFBLAQIUABQA&#10;AAAIAIdO4kAb7b1Q8gEAAOIDAAAOAAAAAAAAAAEAIAAAACUBAABkcnMvZTJvRG9jLnhtbFBLBQYA&#10;AAAABgAGAFkBAACJBQAAAAA=&#10;">
                <v:fill on="f" focussize="0,0"/>
                <v:stroke color="#000000" joinstyle="round"/>
                <v:imagedata o:title=""/>
                <o:lock v:ext="edit" aspectratio="f"/>
              </v:line>
            </w:pict>
          </mc:Fallback>
        </mc:AlternateContent>
      </w:r>
      <w:r>
        <w:rPr>
          <w:rFonts w:hint="eastAsia" w:hAnsi="宋体" w:cs="Arial"/>
          <w:color w:val="000000"/>
          <w:sz w:val="24"/>
          <w:lang w:val="en-US" w:eastAsia="zh-CN"/>
        </w:rPr>
        <mc:AlternateContent>
          <mc:Choice Requires="wps">
            <w:drawing>
              <wp:anchor distT="0" distB="0" distL="114300" distR="114300" simplePos="0" relativeHeight="251662336" behindDoc="0" locked="0" layoutInCell="0" allowOverlap="1">
                <wp:simplePos x="0" y="0"/>
                <wp:positionH relativeFrom="column">
                  <wp:posOffset>2743200</wp:posOffset>
                </wp:positionH>
                <wp:positionV relativeFrom="paragraph">
                  <wp:posOffset>2377440</wp:posOffset>
                </wp:positionV>
                <wp:extent cx="635" cy="0"/>
                <wp:effectExtent l="0" t="0" r="0" b="0"/>
                <wp:wrapNone/>
                <wp:docPr id="17" name="直接连接符 1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16pt;margin-top:187.2pt;height:0pt;width:0.05pt;z-index:251662336;mso-width-relative:page;mso-height-relative:page;" filled="f" stroked="t" coordsize="21600,21600" o:allowincell="f" o:gfxdata="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yIXeXWAAAACwEAAA8AAAAAAAAAAQAgAAAAIgAAAGRycy9kb3ducmV2LnhtbFBLAQIUABQA&#10;AAAIAIdO4kDMwyRr8gEAAOIDAAAOAAAAAAAAAAEAIAAAACUBAABkcnMvZTJvRG9jLnhtbFBLBQYA&#10;AAAABgAGAFkBAACJBQAAAAA=&#10;">
                <v:fill on="f" focussize="0,0"/>
                <v:stroke color="#000000" joinstyle="round"/>
                <v:imagedata o:title=""/>
                <o:lock v:ext="edit" aspectratio="f"/>
              </v:line>
            </w:pict>
          </mc:Fallback>
        </mc:AlternateContent>
      </w:r>
      <w:r>
        <w:rPr>
          <w:rFonts w:hint="eastAsia" w:hAnsi="宋体" w:cs="Arial"/>
          <w:color w:val="000000"/>
          <w:sz w:val="24"/>
          <w:lang w:val="en-US" w:eastAsia="zh-CN"/>
        </w:rPr>
        <w:t>环形线圈和馈线连接点建议采用焊接方式进行连接，将线圈和馈线的接头错开，焊接完成后用防水橡胶带紧裹数匝，并在表面涂上环氧树脂固化，馈线的屏蔽套必须可靠接大地。环形线圈和馈线连接点建议采用长形全绝缘（黄色）中间接头，用压接钳（钳口颜色：黄色）压接，接好后两股接头用防水橡胶带紧裹数匝，并在表面涂上环氧树脂固化，馈线的屏蔽套必须可靠接大地。</w:t>
      </w:r>
    </w:p>
    <w:p>
      <w:pPr>
        <w:pStyle w:val="5"/>
        <w:numPr>
          <w:ilvl w:val="0"/>
          <w:numId w:val="0"/>
        </w:numPr>
        <w:ind w:leftChars="0"/>
        <w:outlineLvl w:val="3"/>
        <w:rPr>
          <w:rFonts w:hint="eastAsia" w:ascii="宋体" w:hAnsi="宋体" w:eastAsia="宋体" w:cs="宋体"/>
          <w:bCs w:val="0"/>
          <w:color w:val="000000"/>
          <w:sz w:val="24"/>
          <w:szCs w:val="24"/>
          <w:lang w:val="en-US" w:eastAsia="zh-CN"/>
        </w:rPr>
      </w:pPr>
      <w:bookmarkStart w:id="254" w:name="_Toc26861"/>
      <w:bookmarkStart w:id="255" w:name="_Toc12005"/>
      <w:r>
        <w:rPr>
          <w:rFonts w:hint="eastAsia" w:ascii="宋体" w:hAnsi="宋体" w:eastAsia="宋体" w:cs="宋体"/>
          <w:bCs w:val="0"/>
          <w:color w:val="000000"/>
          <w:sz w:val="24"/>
          <w:szCs w:val="24"/>
          <w:lang w:val="en-US" w:eastAsia="zh-CN"/>
        </w:rPr>
        <w:t>2.2.9 设</w:t>
      </w:r>
      <w:bookmarkStart w:id="256" w:name="_Toc325034667"/>
      <w:bookmarkStart w:id="257" w:name="_Toc339371068"/>
      <w:bookmarkStart w:id="258" w:name="_Toc353389264"/>
      <w:bookmarkStart w:id="259" w:name="_Toc325464164"/>
      <w:bookmarkStart w:id="260" w:name="_Toc339364133"/>
      <w:bookmarkStart w:id="261" w:name="_Toc333913928"/>
      <w:r>
        <w:rPr>
          <w:rFonts w:hint="eastAsia" w:ascii="宋体" w:hAnsi="宋体" w:eastAsia="宋体" w:cs="宋体"/>
          <w:bCs w:val="0"/>
          <w:color w:val="000000"/>
          <w:sz w:val="24"/>
          <w:szCs w:val="24"/>
          <w:lang w:val="en-US" w:eastAsia="zh-CN"/>
        </w:rPr>
        <w:t>道路交通标线</w:t>
      </w:r>
      <w:bookmarkEnd w:id="256"/>
      <w:bookmarkEnd w:id="257"/>
      <w:bookmarkEnd w:id="258"/>
      <w:bookmarkEnd w:id="259"/>
      <w:bookmarkEnd w:id="260"/>
      <w:bookmarkEnd w:id="261"/>
      <w:r>
        <w:rPr>
          <w:rFonts w:hint="eastAsia" w:ascii="宋体" w:hAnsi="宋体" w:eastAsia="宋体" w:cs="宋体"/>
          <w:bCs w:val="0"/>
          <w:color w:val="000000"/>
          <w:sz w:val="24"/>
          <w:szCs w:val="24"/>
          <w:lang w:val="en-US" w:eastAsia="zh-CN"/>
        </w:rPr>
        <w:t>施划技术措施</w:t>
      </w:r>
      <w:bookmarkEnd w:id="254"/>
      <w:bookmarkEnd w:id="255"/>
    </w:p>
    <w:p>
      <w:pPr>
        <w:numPr>
          <w:ilvl w:val="0"/>
          <w:numId w:val="70"/>
        </w:numPr>
        <w:spacing w:line="360" w:lineRule="auto"/>
        <w:ind w:left="425" w:leftChars="0" w:hanging="425" w:firstLineChars="0"/>
        <w:rPr>
          <w:rFonts w:hint="eastAsia" w:hAnsi="宋体" w:cs="Arial"/>
          <w:color w:val="000000"/>
          <w:sz w:val="24"/>
          <w:lang w:val="en-US" w:eastAsia="zh-CN"/>
        </w:rPr>
      </w:pPr>
      <w:r>
        <w:rPr>
          <w:rFonts w:hint="eastAsia" w:hAnsi="宋体" w:cs="Arial"/>
          <w:color w:val="000000"/>
          <w:sz w:val="24"/>
          <w:lang w:val="en-US" w:eastAsia="zh-CN"/>
        </w:rPr>
        <w:t>基本要求</w:t>
      </w:r>
    </w:p>
    <w:p>
      <w:pPr>
        <w:numPr>
          <w:ilvl w:val="0"/>
          <w:numId w:val="71"/>
        </w:numPr>
        <w:bidi w:val="0"/>
        <w:spacing w:line="360" w:lineRule="auto"/>
        <w:ind w:left="680" w:leftChars="0" w:hanging="340" w:firstLineChars="0"/>
        <w:rPr>
          <w:rFonts w:hint="eastAsia"/>
          <w:sz w:val="24"/>
          <w:szCs w:val="24"/>
        </w:rPr>
      </w:pPr>
      <w:r>
        <w:rPr>
          <w:rFonts w:hint="eastAsia"/>
          <w:sz w:val="24"/>
          <w:szCs w:val="24"/>
        </w:rPr>
        <w:t>标线设计应符合GB5768-2009的规定。</w:t>
      </w:r>
    </w:p>
    <w:p>
      <w:pPr>
        <w:numPr>
          <w:ilvl w:val="0"/>
          <w:numId w:val="71"/>
        </w:numPr>
        <w:bidi w:val="0"/>
        <w:spacing w:line="360" w:lineRule="auto"/>
        <w:ind w:left="680" w:leftChars="0" w:hanging="340" w:firstLineChars="0"/>
        <w:rPr>
          <w:rFonts w:hint="eastAsia"/>
          <w:sz w:val="24"/>
          <w:szCs w:val="24"/>
        </w:rPr>
      </w:pPr>
      <w:r>
        <w:rPr>
          <w:rFonts w:hint="eastAsia"/>
          <w:sz w:val="24"/>
          <w:szCs w:val="24"/>
        </w:rPr>
        <w:t>使用的标线涂料应具有与路面粘结力强、干燥迅速以及良好的耐磨性、耐候性、抗滑性等特性，并应符合有关国家标准或行业标准的要求。</w:t>
      </w:r>
    </w:p>
    <w:p>
      <w:pPr>
        <w:numPr>
          <w:ilvl w:val="0"/>
          <w:numId w:val="71"/>
        </w:numPr>
        <w:bidi w:val="0"/>
        <w:spacing w:line="360" w:lineRule="auto"/>
        <w:ind w:left="680" w:leftChars="0" w:hanging="340" w:firstLineChars="0"/>
        <w:rPr>
          <w:rFonts w:hint="eastAsia"/>
          <w:sz w:val="24"/>
          <w:szCs w:val="24"/>
        </w:rPr>
      </w:pPr>
      <w:r>
        <w:rPr>
          <w:rFonts w:hint="eastAsia"/>
          <w:sz w:val="24"/>
          <w:szCs w:val="24"/>
        </w:rPr>
        <w:t>标线应具有良好的视认性，宽度一致、间隔相等、边缘整齐、线型规则、线条流畅。</w:t>
      </w:r>
    </w:p>
    <w:p>
      <w:pPr>
        <w:numPr>
          <w:ilvl w:val="0"/>
          <w:numId w:val="71"/>
        </w:numPr>
        <w:bidi w:val="0"/>
        <w:spacing w:line="360" w:lineRule="auto"/>
        <w:ind w:left="680" w:leftChars="0" w:hanging="340" w:firstLineChars="0"/>
        <w:rPr>
          <w:rFonts w:hint="eastAsia"/>
          <w:sz w:val="24"/>
          <w:szCs w:val="24"/>
        </w:rPr>
      </w:pPr>
      <w:r>
        <w:rPr>
          <w:rFonts w:hint="eastAsia"/>
          <w:sz w:val="24"/>
          <w:szCs w:val="24"/>
        </w:rPr>
        <w:t>标线涂层应厚度均匀，无起泡、开裂、发粘、脱落等现象。</w:t>
      </w:r>
    </w:p>
    <w:p>
      <w:pPr>
        <w:numPr>
          <w:ilvl w:val="0"/>
          <w:numId w:val="70"/>
        </w:numPr>
        <w:spacing w:line="360" w:lineRule="auto"/>
        <w:ind w:left="425" w:leftChars="0" w:hanging="425" w:firstLineChars="0"/>
        <w:rPr>
          <w:rFonts w:hint="eastAsia" w:hAnsi="宋体" w:cs="Arial"/>
          <w:color w:val="000000"/>
          <w:sz w:val="24"/>
          <w:lang w:val="en-US" w:eastAsia="zh-CN"/>
        </w:rPr>
      </w:pPr>
      <w:bookmarkStart w:id="262" w:name="_Toc325034669"/>
      <w:r>
        <w:rPr>
          <w:rFonts w:hint="eastAsia" w:hAnsi="宋体" w:cs="Arial"/>
          <w:color w:val="000000"/>
          <w:sz w:val="24"/>
          <w:lang w:val="en-US" w:eastAsia="zh-CN"/>
        </w:rPr>
        <w:t>标线涂层厚度</w:t>
      </w:r>
      <w:bookmarkEnd w:id="262"/>
    </w:p>
    <w:p>
      <w:pPr>
        <w:numPr>
          <w:ilvl w:val="0"/>
          <w:numId w:val="72"/>
        </w:numPr>
        <w:bidi w:val="0"/>
        <w:spacing w:line="360" w:lineRule="auto"/>
        <w:ind w:left="680" w:leftChars="0" w:hanging="340" w:firstLineChars="0"/>
        <w:rPr>
          <w:rFonts w:hint="eastAsia"/>
          <w:sz w:val="24"/>
          <w:szCs w:val="24"/>
        </w:rPr>
      </w:pPr>
      <w:r>
        <w:rPr>
          <w:rFonts w:hint="eastAsia"/>
          <w:sz w:val="24"/>
          <w:szCs w:val="24"/>
        </w:rPr>
        <w:t>热熔型涂料标线：1.8-2.0mm</w:t>
      </w:r>
    </w:p>
    <w:p>
      <w:pPr>
        <w:numPr>
          <w:ilvl w:val="0"/>
          <w:numId w:val="70"/>
        </w:numPr>
        <w:spacing w:line="360" w:lineRule="auto"/>
        <w:ind w:left="425" w:leftChars="0" w:hanging="425" w:firstLineChars="0"/>
        <w:rPr>
          <w:rFonts w:hint="eastAsia" w:hAnsi="宋体" w:cs="Arial"/>
          <w:color w:val="000000"/>
          <w:sz w:val="24"/>
          <w:lang w:val="en-US" w:eastAsia="zh-CN"/>
        </w:rPr>
      </w:pPr>
      <w:bookmarkStart w:id="263" w:name="_Toc325034670"/>
      <w:r>
        <w:rPr>
          <w:rFonts w:hint="eastAsia" w:hAnsi="宋体" w:cs="Arial"/>
          <w:color w:val="000000"/>
          <w:sz w:val="24"/>
          <w:lang w:val="en-US" w:eastAsia="zh-CN"/>
        </w:rPr>
        <w:t>标线使用寿命</w:t>
      </w:r>
      <w:bookmarkEnd w:id="263"/>
    </w:p>
    <w:p>
      <w:pPr>
        <w:numPr>
          <w:ilvl w:val="0"/>
          <w:numId w:val="73"/>
        </w:numPr>
        <w:bidi w:val="0"/>
        <w:spacing w:line="360" w:lineRule="auto"/>
        <w:ind w:left="680" w:leftChars="0" w:hanging="340" w:firstLineChars="0"/>
        <w:rPr>
          <w:rFonts w:hint="eastAsia"/>
          <w:sz w:val="24"/>
          <w:szCs w:val="24"/>
        </w:rPr>
      </w:pPr>
      <w:r>
        <w:rPr>
          <w:rFonts w:hint="eastAsia"/>
          <w:sz w:val="24"/>
          <w:szCs w:val="24"/>
        </w:rPr>
        <w:t>沥青混合料路面：热熔型涂料标线 ≥12月</w:t>
      </w:r>
    </w:p>
    <w:p>
      <w:pPr>
        <w:numPr>
          <w:ilvl w:val="0"/>
          <w:numId w:val="73"/>
        </w:numPr>
        <w:bidi w:val="0"/>
        <w:spacing w:line="360" w:lineRule="auto"/>
        <w:ind w:left="680" w:leftChars="0" w:hanging="340" w:firstLineChars="0"/>
        <w:rPr>
          <w:rFonts w:hint="eastAsia"/>
          <w:sz w:val="24"/>
          <w:szCs w:val="24"/>
        </w:rPr>
      </w:pPr>
      <w:r>
        <w:rPr>
          <w:rFonts w:hint="eastAsia"/>
          <w:sz w:val="24"/>
          <w:szCs w:val="24"/>
        </w:rPr>
        <w:t>水泥混凝土路面：热熔型涂料标线≥12月</w:t>
      </w:r>
    </w:p>
    <w:p>
      <w:pPr>
        <w:numPr>
          <w:ilvl w:val="0"/>
          <w:numId w:val="70"/>
        </w:numPr>
        <w:spacing w:line="360" w:lineRule="auto"/>
        <w:ind w:left="425" w:leftChars="0" w:hanging="425" w:firstLineChars="0"/>
        <w:rPr>
          <w:rFonts w:hint="eastAsia" w:hAnsi="宋体" w:cs="Arial"/>
          <w:color w:val="000000"/>
          <w:sz w:val="24"/>
          <w:lang w:val="en-US" w:eastAsia="zh-CN"/>
        </w:rPr>
      </w:pPr>
      <w:bookmarkStart w:id="264" w:name="_Toc325034671"/>
      <w:r>
        <w:rPr>
          <w:rFonts w:hint="eastAsia" w:hAnsi="宋体" w:cs="Arial"/>
          <w:color w:val="000000"/>
          <w:sz w:val="24"/>
          <w:lang w:val="en-US" w:eastAsia="zh-CN"/>
        </w:rPr>
        <w:t>标线形状位置允许误差</w:t>
      </w:r>
      <w:bookmarkEnd w:id="264"/>
    </w:p>
    <w:p>
      <w:pPr>
        <w:numPr>
          <w:ilvl w:val="0"/>
          <w:numId w:val="74"/>
        </w:numPr>
        <w:bidi w:val="0"/>
        <w:spacing w:line="360" w:lineRule="auto"/>
        <w:ind w:left="680" w:leftChars="0" w:hanging="340" w:firstLineChars="0"/>
        <w:rPr>
          <w:rFonts w:hint="eastAsia"/>
          <w:sz w:val="24"/>
          <w:szCs w:val="24"/>
        </w:rPr>
      </w:pPr>
      <w:r>
        <w:rPr>
          <w:rFonts w:hint="eastAsia"/>
          <w:sz w:val="24"/>
          <w:szCs w:val="24"/>
        </w:rPr>
        <w:t>新建道路标线的位置与设计位置误差不大于50mm。现有道路上新标线与旧标线应基本重合。</w:t>
      </w:r>
    </w:p>
    <w:p>
      <w:pPr>
        <w:numPr>
          <w:ilvl w:val="0"/>
          <w:numId w:val="74"/>
        </w:numPr>
        <w:bidi w:val="0"/>
        <w:spacing w:line="360" w:lineRule="auto"/>
        <w:ind w:left="680" w:leftChars="0" w:hanging="340" w:firstLineChars="0"/>
        <w:rPr>
          <w:rFonts w:hint="eastAsia"/>
          <w:sz w:val="24"/>
          <w:szCs w:val="24"/>
        </w:rPr>
      </w:pPr>
      <w:r>
        <w:rPr>
          <w:rFonts w:hint="eastAsia"/>
          <w:sz w:val="24"/>
          <w:szCs w:val="24"/>
        </w:rPr>
        <w:t>所有纵向标线的长度、宽度和纵向间距误差符合表1的规定。</w:t>
      </w:r>
    </w:p>
    <w:tbl>
      <w:tblPr>
        <w:tblStyle w:val="23"/>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0"/>
        <w:gridCol w:w="2861"/>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2860" w:type="dxa"/>
            <w:noWrap w:val="0"/>
            <w:vAlign w:val="top"/>
          </w:tcPr>
          <w:p>
            <w:pPr>
              <w:rPr>
                <w:rFonts w:hint="eastAsia"/>
                <w:sz w:val="24"/>
                <w:szCs w:val="24"/>
              </w:rPr>
            </w:pPr>
            <w:r>
              <w:rPr>
                <w:rFonts w:hint="eastAsia"/>
                <w:sz w:val="24"/>
                <w:szCs w:val="24"/>
              </w:rPr>
              <w:t>项目</w:t>
            </w:r>
          </w:p>
        </w:tc>
        <w:tc>
          <w:tcPr>
            <w:tcW w:w="2861" w:type="dxa"/>
            <w:noWrap w:val="0"/>
            <w:vAlign w:val="top"/>
          </w:tcPr>
          <w:p>
            <w:pPr>
              <w:rPr>
                <w:rFonts w:hint="eastAsia"/>
                <w:sz w:val="24"/>
                <w:szCs w:val="24"/>
              </w:rPr>
            </w:pPr>
            <w:r>
              <w:rPr>
                <w:rFonts w:hint="eastAsia"/>
                <w:sz w:val="24"/>
                <w:szCs w:val="24"/>
              </w:rPr>
              <w:t>尺寸</w:t>
            </w:r>
          </w:p>
        </w:tc>
        <w:tc>
          <w:tcPr>
            <w:tcW w:w="2861" w:type="dxa"/>
            <w:noWrap w:val="0"/>
            <w:vAlign w:val="top"/>
          </w:tcPr>
          <w:p>
            <w:pPr>
              <w:rPr>
                <w:rFonts w:hint="eastAsia"/>
                <w:sz w:val="24"/>
                <w:szCs w:val="24"/>
              </w:rPr>
            </w:pPr>
            <w:r>
              <w:rPr>
                <w:rFonts w:hint="eastAsia"/>
                <w:sz w:val="24"/>
                <w:szCs w:val="24"/>
              </w:rPr>
              <w:t>允许误差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2860" w:type="dxa"/>
            <w:vMerge w:val="restart"/>
            <w:noWrap w:val="0"/>
            <w:vAlign w:val="top"/>
          </w:tcPr>
          <w:p>
            <w:pPr>
              <w:rPr>
                <w:rFonts w:hint="eastAsia"/>
                <w:sz w:val="24"/>
                <w:szCs w:val="24"/>
              </w:rPr>
            </w:pPr>
            <w:r>
              <w:rPr>
                <w:rFonts w:hint="eastAsia"/>
                <w:sz w:val="24"/>
                <w:szCs w:val="24"/>
              </w:rPr>
              <w:t xml:space="preserve">                                        长度</w:t>
            </w:r>
          </w:p>
        </w:tc>
        <w:tc>
          <w:tcPr>
            <w:tcW w:w="2861" w:type="dxa"/>
            <w:noWrap w:val="0"/>
            <w:vAlign w:val="top"/>
          </w:tcPr>
          <w:p>
            <w:pPr>
              <w:rPr>
                <w:rFonts w:hint="eastAsia"/>
                <w:sz w:val="24"/>
                <w:szCs w:val="24"/>
              </w:rPr>
            </w:pPr>
            <w:r>
              <w:rPr>
                <w:rFonts w:hint="eastAsia"/>
                <w:sz w:val="24"/>
                <w:szCs w:val="24"/>
              </w:rPr>
              <w:t>6000</w:t>
            </w:r>
          </w:p>
        </w:tc>
        <w:tc>
          <w:tcPr>
            <w:tcW w:w="2861" w:type="dxa"/>
            <w:noWrap w:val="0"/>
            <w:vAlign w:val="top"/>
          </w:tcPr>
          <w:p>
            <w:pPr>
              <w:rPr>
                <w:rFonts w:hint="eastAsia"/>
                <w:sz w:val="24"/>
                <w:szCs w:val="24"/>
              </w:rPr>
            </w:pPr>
            <w:r>
              <w:rPr>
                <w:rFonts w:hint="eastAsia"/>
                <w:sz w:val="24"/>
                <w:szCs w:val="24"/>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4000</w:t>
            </w:r>
          </w:p>
        </w:tc>
        <w:tc>
          <w:tcPr>
            <w:tcW w:w="2861" w:type="dxa"/>
            <w:noWrap w:val="0"/>
            <w:vAlign w:val="top"/>
          </w:tcPr>
          <w:p>
            <w:pPr>
              <w:rPr>
                <w:rFonts w:hint="eastAsia"/>
                <w:sz w:val="24"/>
                <w:szCs w:val="24"/>
              </w:rPr>
            </w:pPr>
            <w:r>
              <w:rPr>
                <w:rFonts w:hint="eastAsia"/>
                <w:sz w:val="24"/>
                <w:szCs w:val="24"/>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3000</w:t>
            </w:r>
          </w:p>
        </w:tc>
        <w:tc>
          <w:tcPr>
            <w:tcW w:w="2861" w:type="dxa"/>
            <w:noWrap w:val="0"/>
            <w:vAlign w:val="top"/>
          </w:tcPr>
          <w:p>
            <w:pPr>
              <w:rPr>
                <w:rFonts w:hint="eastAsia"/>
                <w:sz w:val="24"/>
                <w:szCs w:val="24"/>
              </w:rPr>
            </w:pPr>
            <w:r>
              <w:rPr>
                <w:rFonts w:hint="eastAsia"/>
                <w:sz w:val="24"/>
                <w:szCs w:val="24"/>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2000</w:t>
            </w:r>
          </w:p>
        </w:tc>
        <w:tc>
          <w:tcPr>
            <w:tcW w:w="2861" w:type="dxa"/>
            <w:noWrap w:val="0"/>
            <w:vAlign w:val="top"/>
          </w:tcPr>
          <w:p>
            <w:pPr>
              <w:rPr>
                <w:rFonts w:hint="eastAsia"/>
                <w:sz w:val="24"/>
                <w:szCs w:val="24"/>
              </w:rPr>
            </w:pPr>
            <w:r>
              <w:rPr>
                <w:rFonts w:hint="eastAsia"/>
                <w:sz w:val="24"/>
                <w:szCs w:val="24"/>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2860" w:type="dxa"/>
            <w:vMerge w:val="restart"/>
            <w:noWrap w:val="0"/>
            <w:vAlign w:val="top"/>
          </w:tcPr>
          <w:p>
            <w:pPr>
              <w:rPr>
                <w:rFonts w:hint="eastAsia"/>
                <w:sz w:val="24"/>
                <w:szCs w:val="24"/>
              </w:rPr>
            </w:pPr>
            <w:r>
              <w:rPr>
                <w:rFonts w:hint="eastAsia"/>
                <w:sz w:val="24"/>
                <w:szCs w:val="24"/>
              </w:rPr>
              <w:t xml:space="preserve">                                 宽度</w:t>
            </w:r>
          </w:p>
        </w:tc>
        <w:tc>
          <w:tcPr>
            <w:tcW w:w="2861" w:type="dxa"/>
            <w:noWrap w:val="0"/>
            <w:vAlign w:val="top"/>
          </w:tcPr>
          <w:p>
            <w:pPr>
              <w:rPr>
                <w:rFonts w:hint="eastAsia"/>
                <w:sz w:val="24"/>
                <w:szCs w:val="24"/>
              </w:rPr>
            </w:pPr>
            <w:r>
              <w:rPr>
                <w:rFonts w:hint="eastAsia"/>
                <w:sz w:val="24"/>
                <w:szCs w:val="24"/>
              </w:rPr>
              <w:t>400</w:t>
            </w:r>
          </w:p>
        </w:tc>
        <w:tc>
          <w:tcPr>
            <w:tcW w:w="2861" w:type="dxa"/>
            <w:noWrap w:val="0"/>
            <w:vAlign w:val="top"/>
          </w:tcPr>
          <w:p>
            <w:pPr>
              <w:rPr>
                <w:rFonts w:hint="eastAsia"/>
                <w:sz w:val="24"/>
                <w:szCs w:val="24"/>
              </w:rPr>
            </w:pPr>
            <w:r>
              <w:rPr>
                <w:rFonts w:hint="eastAsia"/>
                <w:sz w:val="24"/>
                <w:szCs w:val="24"/>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150</w:t>
            </w:r>
          </w:p>
        </w:tc>
        <w:tc>
          <w:tcPr>
            <w:tcW w:w="2861" w:type="dxa"/>
            <w:noWrap w:val="0"/>
            <w:vAlign w:val="top"/>
          </w:tcPr>
          <w:p>
            <w:pPr>
              <w:rPr>
                <w:rFonts w:hint="eastAsia"/>
                <w:sz w:val="24"/>
                <w:szCs w:val="24"/>
              </w:rPr>
            </w:pPr>
            <w:r>
              <w:rPr>
                <w:rFonts w:hint="eastAsia"/>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100</w:t>
            </w:r>
          </w:p>
        </w:tc>
        <w:tc>
          <w:tcPr>
            <w:tcW w:w="2861" w:type="dxa"/>
            <w:noWrap w:val="0"/>
            <w:vAlign w:val="top"/>
          </w:tcPr>
          <w:p>
            <w:pPr>
              <w:rPr>
                <w:rFonts w:hint="eastAsia"/>
                <w:sz w:val="24"/>
                <w:szCs w:val="24"/>
              </w:rPr>
            </w:pPr>
            <w:r>
              <w:rPr>
                <w:rFonts w:hint="eastAsia"/>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2860" w:type="dxa"/>
            <w:vMerge w:val="restart"/>
            <w:noWrap w:val="0"/>
            <w:vAlign w:val="top"/>
          </w:tcPr>
          <w:p>
            <w:pPr>
              <w:rPr>
                <w:rFonts w:hint="eastAsia"/>
                <w:sz w:val="24"/>
                <w:szCs w:val="24"/>
              </w:rPr>
            </w:pPr>
            <w:r>
              <w:rPr>
                <w:rFonts w:hint="eastAsia"/>
                <w:sz w:val="24"/>
                <w:szCs w:val="24"/>
              </w:rPr>
              <w:t xml:space="preserve">                               纵向间距</w:t>
            </w:r>
          </w:p>
        </w:tc>
        <w:tc>
          <w:tcPr>
            <w:tcW w:w="2861" w:type="dxa"/>
            <w:noWrap w:val="0"/>
            <w:vAlign w:val="top"/>
          </w:tcPr>
          <w:p>
            <w:pPr>
              <w:rPr>
                <w:rFonts w:hint="eastAsia"/>
                <w:sz w:val="24"/>
                <w:szCs w:val="24"/>
              </w:rPr>
            </w:pPr>
            <w:r>
              <w:rPr>
                <w:rFonts w:hint="eastAsia"/>
                <w:sz w:val="24"/>
                <w:szCs w:val="24"/>
              </w:rPr>
              <w:t>9000</w:t>
            </w:r>
          </w:p>
        </w:tc>
        <w:tc>
          <w:tcPr>
            <w:tcW w:w="2861" w:type="dxa"/>
            <w:noWrap w:val="0"/>
            <w:vAlign w:val="top"/>
          </w:tcPr>
          <w:p>
            <w:pPr>
              <w:rPr>
                <w:rFonts w:hint="eastAsia"/>
                <w:sz w:val="24"/>
                <w:szCs w:val="24"/>
              </w:rPr>
            </w:pPr>
            <w:r>
              <w:rPr>
                <w:rFonts w:hint="eastAsia"/>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6000</w:t>
            </w:r>
          </w:p>
        </w:tc>
        <w:tc>
          <w:tcPr>
            <w:tcW w:w="2861" w:type="dxa"/>
            <w:noWrap w:val="0"/>
            <w:vAlign w:val="top"/>
          </w:tcPr>
          <w:p>
            <w:pPr>
              <w:rPr>
                <w:rFonts w:hint="eastAsia"/>
                <w:sz w:val="24"/>
                <w:szCs w:val="24"/>
              </w:rPr>
            </w:pPr>
            <w:r>
              <w:rPr>
                <w:rFonts w:hint="eastAsia"/>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4000</w:t>
            </w:r>
          </w:p>
        </w:tc>
        <w:tc>
          <w:tcPr>
            <w:tcW w:w="2861" w:type="dxa"/>
            <w:noWrap w:val="0"/>
            <w:vAlign w:val="top"/>
          </w:tcPr>
          <w:p>
            <w:pPr>
              <w:rPr>
                <w:rFonts w:hint="eastAsia"/>
                <w:sz w:val="24"/>
                <w:szCs w:val="24"/>
              </w:rPr>
            </w:pPr>
            <w:r>
              <w:rPr>
                <w:rFonts w:hint="eastAsia"/>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 w:hRule="atLeast"/>
        </w:trPr>
        <w:tc>
          <w:tcPr>
            <w:tcW w:w="2860" w:type="dxa"/>
            <w:vMerge w:val="continue"/>
            <w:noWrap w:val="0"/>
            <w:vAlign w:val="top"/>
          </w:tcPr>
          <w:p>
            <w:pPr>
              <w:rPr>
                <w:rFonts w:hint="eastAsia"/>
                <w:sz w:val="24"/>
                <w:szCs w:val="24"/>
              </w:rPr>
            </w:pPr>
          </w:p>
        </w:tc>
        <w:tc>
          <w:tcPr>
            <w:tcW w:w="2861" w:type="dxa"/>
            <w:noWrap w:val="0"/>
            <w:vAlign w:val="top"/>
          </w:tcPr>
          <w:p>
            <w:pPr>
              <w:rPr>
                <w:rFonts w:hint="eastAsia"/>
                <w:sz w:val="24"/>
                <w:szCs w:val="24"/>
              </w:rPr>
            </w:pPr>
            <w:r>
              <w:rPr>
                <w:rFonts w:hint="eastAsia"/>
                <w:sz w:val="24"/>
                <w:szCs w:val="24"/>
              </w:rPr>
              <w:t>3000</w:t>
            </w:r>
          </w:p>
        </w:tc>
        <w:tc>
          <w:tcPr>
            <w:tcW w:w="2861" w:type="dxa"/>
            <w:noWrap w:val="0"/>
            <w:vAlign w:val="top"/>
          </w:tcPr>
          <w:p>
            <w:pPr>
              <w:rPr>
                <w:rFonts w:hint="eastAsia"/>
                <w:sz w:val="24"/>
                <w:szCs w:val="24"/>
              </w:rPr>
            </w:pPr>
            <w:r>
              <w:rPr>
                <w:rFonts w:hint="eastAsia"/>
                <w:sz w:val="24"/>
                <w:szCs w:val="24"/>
              </w:rPr>
              <w:t>±15</w:t>
            </w:r>
          </w:p>
        </w:tc>
      </w:tr>
    </w:tbl>
    <w:p>
      <w:pPr>
        <w:rPr>
          <w:rFonts w:hint="eastAsia"/>
        </w:rPr>
      </w:pPr>
    </w:p>
    <w:p>
      <w:pPr>
        <w:numPr>
          <w:ilvl w:val="0"/>
          <w:numId w:val="74"/>
        </w:numPr>
        <w:bidi w:val="0"/>
        <w:spacing w:line="360" w:lineRule="auto"/>
        <w:ind w:left="680" w:leftChars="0" w:hanging="340" w:firstLineChars="0"/>
        <w:rPr>
          <w:rFonts w:hint="eastAsia"/>
          <w:sz w:val="24"/>
          <w:szCs w:val="24"/>
        </w:rPr>
      </w:pPr>
      <w:r>
        <w:rPr>
          <w:rFonts w:hint="eastAsia"/>
          <w:sz w:val="24"/>
          <w:szCs w:val="24"/>
        </w:rPr>
        <w:t>特殊标线的宽度误差不大于5%。</w:t>
      </w:r>
    </w:p>
    <w:p>
      <w:pPr>
        <w:numPr>
          <w:ilvl w:val="0"/>
          <w:numId w:val="74"/>
        </w:numPr>
        <w:bidi w:val="0"/>
        <w:spacing w:line="360" w:lineRule="auto"/>
        <w:ind w:left="680" w:leftChars="0" w:hanging="340" w:firstLineChars="0"/>
        <w:rPr>
          <w:rFonts w:hint="eastAsia"/>
          <w:sz w:val="24"/>
          <w:szCs w:val="24"/>
        </w:rPr>
      </w:pPr>
      <w:r>
        <w:rPr>
          <w:rFonts w:hint="eastAsia"/>
          <w:sz w:val="24"/>
          <w:szCs w:val="24"/>
        </w:rPr>
        <w:t>人字形标线、文字、符号应符合设计要求。</w:t>
      </w:r>
    </w:p>
    <w:p>
      <w:pPr>
        <w:numPr>
          <w:ilvl w:val="0"/>
          <w:numId w:val="74"/>
        </w:numPr>
        <w:bidi w:val="0"/>
        <w:spacing w:line="360" w:lineRule="auto"/>
        <w:ind w:left="680" w:leftChars="0" w:hanging="340" w:firstLineChars="0"/>
        <w:rPr>
          <w:rFonts w:hint="eastAsia"/>
          <w:sz w:val="24"/>
          <w:szCs w:val="24"/>
        </w:rPr>
      </w:pPr>
      <w:r>
        <w:rPr>
          <w:rFonts w:hint="eastAsia"/>
          <w:sz w:val="24"/>
          <w:szCs w:val="24"/>
        </w:rPr>
        <w:t>标线的端线与边线应垂直，其误差不大于±5°；其他特殊标线，其角度与设计值的误差不大于±3°。</w:t>
      </w:r>
    </w:p>
    <w:p>
      <w:pPr>
        <w:numPr>
          <w:ilvl w:val="0"/>
          <w:numId w:val="70"/>
        </w:numPr>
        <w:spacing w:line="360" w:lineRule="auto"/>
        <w:ind w:left="425" w:leftChars="0" w:hanging="425" w:firstLineChars="0"/>
        <w:rPr>
          <w:rFonts w:hint="eastAsia" w:hAnsi="宋体" w:cs="Arial"/>
          <w:color w:val="000000"/>
          <w:sz w:val="24"/>
          <w:lang w:val="en-US" w:eastAsia="zh-CN"/>
        </w:rPr>
      </w:pPr>
      <w:bookmarkStart w:id="265" w:name="_Toc325034672"/>
      <w:r>
        <w:rPr>
          <w:rFonts w:hint="eastAsia" w:hAnsi="宋体" w:cs="Arial"/>
          <w:color w:val="000000"/>
          <w:sz w:val="24"/>
          <w:lang w:val="en-US" w:eastAsia="zh-CN"/>
        </w:rPr>
        <w:t>反光标线</w:t>
      </w:r>
      <w:bookmarkEnd w:id="265"/>
    </w:p>
    <w:p>
      <w:pPr>
        <w:numPr>
          <w:ilvl w:val="0"/>
          <w:numId w:val="75"/>
        </w:numPr>
        <w:bidi w:val="0"/>
        <w:spacing w:line="360" w:lineRule="auto"/>
        <w:ind w:left="680" w:leftChars="0" w:hanging="340" w:firstLineChars="0"/>
        <w:rPr>
          <w:rFonts w:hint="eastAsia"/>
          <w:sz w:val="24"/>
          <w:szCs w:val="24"/>
        </w:rPr>
      </w:pPr>
      <w:r>
        <w:rPr>
          <w:rFonts w:hint="eastAsia"/>
          <w:sz w:val="24"/>
          <w:szCs w:val="24"/>
        </w:rPr>
        <w:t>撒布在标线上的玻璃微珠其质量和级配应符合有关国家标准或行业标准要求。</w:t>
      </w:r>
    </w:p>
    <w:p>
      <w:pPr>
        <w:numPr>
          <w:ilvl w:val="0"/>
          <w:numId w:val="75"/>
        </w:numPr>
        <w:bidi w:val="0"/>
        <w:spacing w:line="360" w:lineRule="auto"/>
        <w:ind w:left="680" w:leftChars="0" w:hanging="340" w:firstLineChars="0"/>
        <w:rPr>
          <w:rFonts w:hint="eastAsia"/>
          <w:sz w:val="24"/>
          <w:szCs w:val="24"/>
        </w:rPr>
      </w:pPr>
      <w:r>
        <w:rPr>
          <w:rFonts w:hint="eastAsia"/>
          <w:sz w:val="24"/>
          <w:szCs w:val="24"/>
        </w:rPr>
        <w:t>反光标线面撒玻璃微珠应分布均匀，含量为0.3kg/m2。</w:t>
      </w:r>
    </w:p>
    <w:p>
      <w:pPr>
        <w:numPr>
          <w:ilvl w:val="0"/>
          <w:numId w:val="75"/>
        </w:numPr>
        <w:bidi w:val="0"/>
        <w:spacing w:line="360" w:lineRule="auto"/>
        <w:ind w:left="680" w:leftChars="0" w:hanging="340" w:firstLineChars="0"/>
        <w:rPr>
          <w:rFonts w:hint="eastAsia"/>
          <w:sz w:val="24"/>
          <w:szCs w:val="24"/>
        </w:rPr>
      </w:pPr>
      <w:r>
        <w:rPr>
          <w:rFonts w:hint="eastAsia"/>
          <w:sz w:val="24"/>
          <w:szCs w:val="24"/>
        </w:rPr>
        <w:t>白色反光标线的逆反射系数应不小于200mcd.1x-1.m-2；黄色标线的逆反射系数应不小于100mcd.1x-1.m-2。</w:t>
      </w:r>
    </w:p>
    <w:p>
      <w:pPr>
        <w:numPr>
          <w:ilvl w:val="0"/>
          <w:numId w:val="70"/>
        </w:numPr>
        <w:spacing w:line="360" w:lineRule="auto"/>
        <w:ind w:left="425" w:leftChars="0" w:hanging="425" w:firstLineChars="0"/>
        <w:rPr>
          <w:rFonts w:hint="eastAsia" w:hAnsi="宋体" w:cs="Arial"/>
          <w:color w:val="000000"/>
          <w:sz w:val="24"/>
          <w:lang w:val="en-US" w:eastAsia="zh-CN"/>
        </w:rPr>
      </w:pPr>
      <w:bookmarkStart w:id="266" w:name="_Toc325034673"/>
      <w:r>
        <w:rPr>
          <w:rFonts w:hint="eastAsia" w:hAnsi="宋体" w:cs="Arial"/>
          <w:color w:val="000000"/>
          <w:sz w:val="24"/>
          <w:lang w:val="en-US" w:eastAsia="zh-CN"/>
        </w:rPr>
        <w:t>标线色度性能</w:t>
      </w:r>
      <w:bookmarkEnd w:id="266"/>
    </w:p>
    <w:p>
      <w:pPr>
        <w:numPr>
          <w:ilvl w:val="0"/>
          <w:numId w:val="76"/>
        </w:numPr>
        <w:bidi w:val="0"/>
        <w:spacing w:line="360" w:lineRule="auto"/>
        <w:ind w:left="680" w:leftChars="0" w:hanging="340" w:firstLineChars="0"/>
        <w:rPr>
          <w:rFonts w:hint="eastAsia"/>
          <w:sz w:val="24"/>
          <w:szCs w:val="24"/>
        </w:rPr>
      </w:pPr>
      <w:r>
        <w:rPr>
          <w:rFonts w:hint="eastAsia"/>
          <w:sz w:val="24"/>
          <w:szCs w:val="24"/>
        </w:rPr>
        <w:t>标线颜色为白色或黄色，其色品坐标和光亮度因数应在下表规定的范围内。</w:t>
      </w:r>
    </w:p>
    <w:tbl>
      <w:tblPr>
        <w:tblStyle w:val="23"/>
        <w:tblpPr w:leftFromText="180" w:rightFromText="180" w:vertAnchor="text" w:horzAnchor="page" w:tblpX="1807" w:tblpY="94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540"/>
        <w:gridCol w:w="1080"/>
        <w:gridCol w:w="1080"/>
        <w:gridCol w:w="1080"/>
        <w:gridCol w:w="1080"/>
        <w:gridCol w:w="10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8" w:type="dxa"/>
            <w:gridSpan w:val="2"/>
            <w:vMerge w:val="restart"/>
            <w:noWrap w:val="0"/>
            <w:vAlign w:val="top"/>
          </w:tcPr>
          <w:p>
            <w:pPr>
              <w:rPr>
                <w:rFonts w:hint="eastAsia" w:ascii="宋体" w:hAnsi="宋体" w:eastAsia="宋体" w:cs="宋体"/>
                <w:sz w:val="24"/>
                <w:szCs w:val="24"/>
              </w:rPr>
            </w:pPr>
            <w:r>
              <w:rPr>
                <w:rFonts w:hint="eastAsia" w:ascii="宋体" w:hAnsi="宋体" w:eastAsia="宋体" w:cs="宋体"/>
                <w:sz w:val="24"/>
                <w:szCs w:val="24"/>
              </w:rPr>
              <w:t>颜色</w:t>
            </w:r>
          </w:p>
        </w:tc>
        <w:tc>
          <w:tcPr>
            <w:tcW w:w="6840" w:type="dxa"/>
            <w:gridSpan w:val="6"/>
            <w:noWrap w:val="0"/>
            <w:vAlign w:val="top"/>
          </w:tcPr>
          <w:p>
            <w:pPr>
              <w:rPr>
                <w:rFonts w:hint="eastAsia" w:ascii="宋体" w:hAnsi="宋体" w:eastAsia="宋体" w:cs="宋体"/>
                <w:sz w:val="24"/>
                <w:szCs w:val="24"/>
              </w:rPr>
            </w:pPr>
            <w:r>
              <w:rPr>
                <w:rFonts w:hint="eastAsia" w:ascii="宋体" w:hAnsi="宋体" w:eastAsia="宋体" w:cs="宋体"/>
                <w:sz w:val="24"/>
                <w:szCs w:val="24"/>
              </w:rPr>
              <w:t>色品坐标 光源：标准光源D65（几何45°/0°）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8" w:type="dxa"/>
            <w:gridSpan w:val="2"/>
            <w:vMerge w:val="continue"/>
            <w:noWrap w:val="0"/>
            <w:vAlign w:val="top"/>
          </w:tcPr>
          <w:p>
            <w:pPr>
              <w:rPr>
                <w:rFonts w:hint="eastAsia" w:ascii="宋体" w:hAnsi="宋体" w:eastAsia="宋体" w:cs="宋体"/>
                <w:sz w:val="24"/>
                <w:szCs w:val="24"/>
              </w:rPr>
            </w:pPr>
          </w:p>
        </w:tc>
        <w:tc>
          <w:tcPr>
            <w:tcW w:w="2160" w:type="dxa"/>
            <w:gridSpan w:val="2"/>
            <w:noWrap w:val="0"/>
            <w:vAlign w:val="top"/>
          </w:tcPr>
          <w:p>
            <w:pPr>
              <w:rPr>
                <w:rFonts w:hint="eastAsia" w:ascii="宋体" w:hAnsi="宋体" w:eastAsia="宋体" w:cs="宋体"/>
                <w:sz w:val="24"/>
                <w:szCs w:val="24"/>
              </w:rPr>
            </w:pPr>
            <w:r>
              <w:rPr>
                <w:rFonts w:hint="eastAsia" w:ascii="宋体" w:hAnsi="宋体" w:eastAsia="宋体" w:cs="宋体"/>
                <w:sz w:val="24"/>
                <w:szCs w:val="24"/>
              </w:rPr>
              <w:t>1</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2</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3</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4</w:t>
            </w:r>
          </w:p>
        </w:tc>
        <w:tc>
          <w:tcPr>
            <w:tcW w:w="14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光亮度因数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1008" w:type="dxa"/>
            <w:vMerge w:val="restart"/>
            <w:noWrap w:val="0"/>
            <w:vAlign w:val="top"/>
          </w:tcPr>
          <w:p>
            <w:pPr>
              <w:rPr>
                <w:rFonts w:hint="eastAsia" w:ascii="宋体" w:hAnsi="宋体" w:eastAsia="宋体" w:cs="宋体"/>
                <w:sz w:val="24"/>
                <w:szCs w:val="24"/>
              </w:rPr>
            </w:pPr>
            <w:r>
              <w:rPr>
                <w:rFonts w:hint="eastAsia" w:ascii="宋体" w:hAnsi="宋体" w:eastAsia="宋体" w:cs="宋体"/>
                <w:sz w:val="24"/>
                <w:szCs w:val="24"/>
              </w:rPr>
              <w:t>表面色</w:t>
            </w:r>
          </w:p>
        </w:tc>
        <w:tc>
          <w:tcPr>
            <w:tcW w:w="5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白</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X</w:t>
            </w:r>
          </w:p>
          <w:p>
            <w:pPr>
              <w:rPr>
                <w:rFonts w:hint="eastAsia" w:ascii="宋体" w:hAnsi="宋体" w:eastAsia="宋体" w:cs="宋体"/>
                <w:sz w:val="24"/>
                <w:szCs w:val="24"/>
              </w:rPr>
            </w:pPr>
            <w:r>
              <w:rPr>
                <w:rFonts w:hint="eastAsia" w:ascii="宋体" w:hAnsi="宋体" w:eastAsia="宋体" w:cs="宋体"/>
                <w:sz w:val="24"/>
                <w:szCs w:val="24"/>
              </w:rPr>
              <w:t>y</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0.350</w:t>
            </w:r>
          </w:p>
          <w:p>
            <w:pPr>
              <w:rPr>
                <w:rFonts w:hint="eastAsia" w:ascii="宋体" w:hAnsi="宋体" w:eastAsia="宋体" w:cs="宋体"/>
                <w:sz w:val="24"/>
                <w:szCs w:val="24"/>
              </w:rPr>
            </w:pPr>
            <w:r>
              <w:rPr>
                <w:rFonts w:hint="eastAsia" w:ascii="宋体" w:hAnsi="宋体" w:eastAsia="宋体" w:cs="宋体"/>
                <w:sz w:val="24"/>
                <w:szCs w:val="24"/>
              </w:rPr>
              <w:t>0.360</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0.300</w:t>
            </w:r>
          </w:p>
          <w:p>
            <w:pPr>
              <w:rPr>
                <w:rFonts w:hint="eastAsia" w:ascii="宋体" w:hAnsi="宋体" w:eastAsia="宋体" w:cs="宋体"/>
                <w:sz w:val="24"/>
                <w:szCs w:val="24"/>
              </w:rPr>
            </w:pPr>
            <w:r>
              <w:rPr>
                <w:rFonts w:hint="eastAsia" w:ascii="宋体" w:hAnsi="宋体" w:eastAsia="宋体" w:cs="宋体"/>
                <w:sz w:val="24"/>
                <w:szCs w:val="24"/>
              </w:rPr>
              <w:t>0.310</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0.290</w:t>
            </w:r>
          </w:p>
          <w:p>
            <w:pPr>
              <w:rPr>
                <w:rFonts w:hint="eastAsia" w:ascii="宋体" w:hAnsi="宋体" w:eastAsia="宋体" w:cs="宋体"/>
                <w:sz w:val="24"/>
                <w:szCs w:val="24"/>
              </w:rPr>
            </w:pPr>
            <w:r>
              <w:rPr>
                <w:rFonts w:hint="eastAsia" w:ascii="宋体" w:hAnsi="宋体" w:eastAsia="宋体" w:cs="宋体"/>
                <w:sz w:val="24"/>
                <w:szCs w:val="24"/>
              </w:rPr>
              <w:t>0.320</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0.340</w:t>
            </w:r>
          </w:p>
          <w:p>
            <w:pPr>
              <w:rPr>
                <w:rFonts w:hint="eastAsia" w:ascii="宋体" w:hAnsi="宋体" w:eastAsia="宋体" w:cs="宋体"/>
                <w:sz w:val="24"/>
                <w:szCs w:val="24"/>
              </w:rPr>
            </w:pPr>
            <w:r>
              <w:rPr>
                <w:rFonts w:hint="eastAsia" w:ascii="宋体" w:hAnsi="宋体" w:eastAsia="宋体" w:cs="宋体"/>
                <w:sz w:val="24"/>
                <w:szCs w:val="24"/>
              </w:rPr>
              <w:t>0.370</w:t>
            </w:r>
          </w:p>
        </w:tc>
        <w:tc>
          <w:tcPr>
            <w:tcW w:w="14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Merge w:val="continue"/>
            <w:noWrap w:val="0"/>
            <w:vAlign w:val="top"/>
          </w:tcPr>
          <w:p>
            <w:pPr>
              <w:rPr>
                <w:rFonts w:hint="eastAsia" w:ascii="宋体" w:hAnsi="宋体" w:eastAsia="宋体" w:cs="宋体"/>
                <w:sz w:val="24"/>
                <w:szCs w:val="24"/>
              </w:rPr>
            </w:pPr>
          </w:p>
        </w:tc>
        <w:tc>
          <w:tcPr>
            <w:tcW w:w="5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黄</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X</w:t>
            </w:r>
          </w:p>
          <w:p>
            <w:pPr>
              <w:rPr>
                <w:rFonts w:hint="eastAsia" w:ascii="宋体" w:hAnsi="宋体" w:eastAsia="宋体" w:cs="宋体"/>
                <w:sz w:val="24"/>
                <w:szCs w:val="24"/>
              </w:rPr>
            </w:pPr>
            <w:r>
              <w:rPr>
                <w:rFonts w:hint="eastAsia" w:ascii="宋体" w:hAnsi="宋体" w:eastAsia="宋体" w:cs="宋体"/>
                <w:sz w:val="24"/>
                <w:szCs w:val="24"/>
              </w:rPr>
              <w:t>y</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0.531</w:t>
            </w:r>
          </w:p>
          <w:p>
            <w:pPr>
              <w:rPr>
                <w:rFonts w:hint="eastAsia" w:ascii="宋体" w:hAnsi="宋体" w:eastAsia="宋体" w:cs="宋体"/>
                <w:sz w:val="24"/>
                <w:szCs w:val="24"/>
              </w:rPr>
            </w:pPr>
            <w:r>
              <w:rPr>
                <w:rFonts w:hint="eastAsia" w:ascii="宋体" w:hAnsi="宋体" w:eastAsia="宋体" w:cs="宋体"/>
                <w:sz w:val="24"/>
                <w:szCs w:val="24"/>
              </w:rPr>
              <w:t>0.468</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0.464</w:t>
            </w:r>
          </w:p>
          <w:p>
            <w:pPr>
              <w:rPr>
                <w:rFonts w:hint="eastAsia" w:ascii="宋体" w:hAnsi="宋体" w:eastAsia="宋体" w:cs="宋体"/>
                <w:sz w:val="24"/>
                <w:szCs w:val="24"/>
              </w:rPr>
            </w:pPr>
            <w:r>
              <w:rPr>
                <w:rFonts w:hint="eastAsia" w:ascii="宋体" w:hAnsi="宋体" w:eastAsia="宋体" w:cs="宋体"/>
                <w:sz w:val="24"/>
                <w:szCs w:val="24"/>
              </w:rPr>
              <w:t>0.534</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0.427</w:t>
            </w:r>
          </w:p>
          <w:p>
            <w:pPr>
              <w:rPr>
                <w:rFonts w:hint="eastAsia" w:ascii="宋体" w:hAnsi="宋体" w:eastAsia="宋体" w:cs="宋体"/>
                <w:sz w:val="24"/>
                <w:szCs w:val="24"/>
              </w:rPr>
            </w:pPr>
            <w:r>
              <w:rPr>
                <w:rFonts w:hint="eastAsia" w:ascii="宋体" w:hAnsi="宋体" w:eastAsia="宋体" w:cs="宋体"/>
                <w:sz w:val="24"/>
                <w:szCs w:val="24"/>
              </w:rPr>
              <w:t>0.483</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0.477</w:t>
            </w:r>
          </w:p>
          <w:p>
            <w:pPr>
              <w:rPr>
                <w:rFonts w:hint="eastAsia" w:ascii="宋体" w:hAnsi="宋体" w:eastAsia="宋体" w:cs="宋体"/>
                <w:sz w:val="24"/>
                <w:szCs w:val="24"/>
              </w:rPr>
            </w:pPr>
            <w:r>
              <w:rPr>
                <w:rFonts w:hint="eastAsia" w:ascii="宋体" w:hAnsi="宋体" w:eastAsia="宋体" w:cs="宋体"/>
                <w:sz w:val="24"/>
                <w:szCs w:val="24"/>
              </w:rPr>
              <w:t>0.433</w:t>
            </w:r>
          </w:p>
        </w:tc>
        <w:tc>
          <w:tcPr>
            <w:tcW w:w="14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008" w:type="dxa"/>
            <w:vMerge w:val="restart"/>
            <w:noWrap w:val="0"/>
            <w:vAlign w:val="top"/>
          </w:tcPr>
          <w:p>
            <w:pPr>
              <w:rPr>
                <w:rFonts w:hint="eastAsia" w:ascii="宋体" w:hAnsi="宋体" w:eastAsia="宋体" w:cs="宋体"/>
                <w:sz w:val="24"/>
                <w:szCs w:val="24"/>
              </w:rPr>
            </w:pPr>
            <w:r>
              <w:rPr>
                <w:rFonts w:hint="eastAsia" w:ascii="宋体" w:hAnsi="宋体" w:eastAsia="宋体" w:cs="宋体"/>
                <w:sz w:val="24"/>
                <w:szCs w:val="24"/>
              </w:rPr>
              <w:t>逆反射材料色</w:t>
            </w:r>
          </w:p>
        </w:tc>
        <w:tc>
          <w:tcPr>
            <w:tcW w:w="5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白</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X</w:t>
            </w:r>
          </w:p>
          <w:p>
            <w:pPr>
              <w:rPr>
                <w:rFonts w:hint="eastAsia" w:ascii="宋体" w:hAnsi="宋体" w:eastAsia="宋体" w:cs="宋体"/>
                <w:sz w:val="24"/>
                <w:szCs w:val="24"/>
              </w:rPr>
            </w:pPr>
            <w:r>
              <w:rPr>
                <w:rFonts w:hint="eastAsia" w:ascii="宋体" w:hAnsi="宋体" w:eastAsia="宋体" w:cs="宋体"/>
                <w:sz w:val="24"/>
                <w:szCs w:val="24"/>
              </w:rPr>
              <w:t>y</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0.350</w:t>
            </w:r>
          </w:p>
          <w:p>
            <w:pPr>
              <w:rPr>
                <w:rFonts w:hint="eastAsia" w:ascii="宋体" w:hAnsi="宋体" w:eastAsia="宋体" w:cs="宋体"/>
                <w:sz w:val="24"/>
                <w:szCs w:val="24"/>
              </w:rPr>
            </w:pPr>
            <w:r>
              <w:rPr>
                <w:rFonts w:hint="eastAsia" w:ascii="宋体" w:hAnsi="宋体" w:eastAsia="宋体" w:cs="宋体"/>
                <w:sz w:val="24"/>
                <w:szCs w:val="24"/>
              </w:rPr>
              <w:t>0.360</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0.300</w:t>
            </w:r>
          </w:p>
          <w:p>
            <w:pPr>
              <w:rPr>
                <w:rFonts w:hint="eastAsia" w:ascii="宋体" w:hAnsi="宋体" w:eastAsia="宋体" w:cs="宋体"/>
                <w:sz w:val="24"/>
                <w:szCs w:val="24"/>
              </w:rPr>
            </w:pPr>
            <w:r>
              <w:rPr>
                <w:rFonts w:hint="eastAsia" w:ascii="宋体" w:hAnsi="宋体" w:eastAsia="宋体" w:cs="宋体"/>
                <w:sz w:val="24"/>
                <w:szCs w:val="24"/>
              </w:rPr>
              <w:t>0.310</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0.290</w:t>
            </w:r>
          </w:p>
          <w:p>
            <w:pPr>
              <w:rPr>
                <w:rFonts w:hint="eastAsia" w:ascii="宋体" w:hAnsi="宋体" w:eastAsia="宋体" w:cs="宋体"/>
                <w:sz w:val="24"/>
                <w:szCs w:val="24"/>
              </w:rPr>
            </w:pPr>
            <w:r>
              <w:rPr>
                <w:rFonts w:hint="eastAsia" w:ascii="宋体" w:hAnsi="宋体" w:eastAsia="宋体" w:cs="宋体"/>
                <w:sz w:val="24"/>
                <w:szCs w:val="24"/>
              </w:rPr>
              <w:t>0.320</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0.340</w:t>
            </w:r>
          </w:p>
          <w:p>
            <w:pPr>
              <w:rPr>
                <w:rFonts w:hint="eastAsia" w:ascii="宋体" w:hAnsi="宋体" w:eastAsia="宋体" w:cs="宋体"/>
                <w:sz w:val="24"/>
                <w:szCs w:val="24"/>
              </w:rPr>
            </w:pPr>
            <w:r>
              <w:rPr>
                <w:rFonts w:hint="eastAsia" w:ascii="宋体" w:hAnsi="宋体" w:eastAsia="宋体" w:cs="宋体"/>
                <w:sz w:val="24"/>
                <w:szCs w:val="24"/>
              </w:rPr>
              <w:t>0.370</w:t>
            </w:r>
          </w:p>
        </w:tc>
        <w:tc>
          <w:tcPr>
            <w:tcW w:w="14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008" w:type="dxa"/>
            <w:vMerge w:val="continue"/>
            <w:noWrap w:val="0"/>
            <w:vAlign w:val="top"/>
          </w:tcPr>
          <w:p>
            <w:pPr>
              <w:rPr>
                <w:rFonts w:hint="eastAsia" w:ascii="宋体" w:hAnsi="宋体" w:eastAsia="宋体" w:cs="宋体"/>
                <w:sz w:val="24"/>
                <w:szCs w:val="24"/>
              </w:rPr>
            </w:pPr>
          </w:p>
        </w:tc>
        <w:tc>
          <w:tcPr>
            <w:tcW w:w="5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黄</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X</w:t>
            </w:r>
          </w:p>
          <w:p>
            <w:pPr>
              <w:rPr>
                <w:rFonts w:hint="eastAsia" w:ascii="宋体" w:hAnsi="宋体" w:eastAsia="宋体" w:cs="宋体"/>
                <w:sz w:val="24"/>
                <w:szCs w:val="24"/>
              </w:rPr>
            </w:pPr>
            <w:r>
              <w:rPr>
                <w:rFonts w:hint="eastAsia" w:ascii="宋体" w:hAnsi="宋体" w:eastAsia="宋体" w:cs="宋体"/>
                <w:sz w:val="24"/>
                <w:szCs w:val="24"/>
              </w:rPr>
              <w:t>y</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0.531</w:t>
            </w:r>
          </w:p>
          <w:p>
            <w:pPr>
              <w:rPr>
                <w:rFonts w:hint="eastAsia" w:ascii="宋体" w:hAnsi="宋体" w:eastAsia="宋体" w:cs="宋体"/>
                <w:sz w:val="24"/>
                <w:szCs w:val="24"/>
              </w:rPr>
            </w:pPr>
            <w:r>
              <w:rPr>
                <w:rFonts w:hint="eastAsia" w:ascii="宋体" w:hAnsi="宋体" w:eastAsia="宋体" w:cs="宋体"/>
                <w:sz w:val="24"/>
                <w:szCs w:val="24"/>
              </w:rPr>
              <w:t>0.468</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0.464</w:t>
            </w:r>
          </w:p>
          <w:p>
            <w:pPr>
              <w:rPr>
                <w:rFonts w:hint="eastAsia" w:ascii="宋体" w:hAnsi="宋体" w:eastAsia="宋体" w:cs="宋体"/>
                <w:sz w:val="24"/>
                <w:szCs w:val="24"/>
              </w:rPr>
            </w:pPr>
            <w:r>
              <w:rPr>
                <w:rFonts w:hint="eastAsia" w:ascii="宋体" w:hAnsi="宋体" w:eastAsia="宋体" w:cs="宋体"/>
                <w:sz w:val="24"/>
                <w:szCs w:val="24"/>
              </w:rPr>
              <w:t>0.534</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0.427</w:t>
            </w:r>
          </w:p>
          <w:p>
            <w:pPr>
              <w:rPr>
                <w:rFonts w:hint="eastAsia" w:ascii="宋体" w:hAnsi="宋体" w:eastAsia="宋体" w:cs="宋体"/>
                <w:sz w:val="24"/>
                <w:szCs w:val="24"/>
              </w:rPr>
            </w:pPr>
            <w:r>
              <w:rPr>
                <w:rFonts w:hint="eastAsia" w:ascii="宋体" w:hAnsi="宋体" w:eastAsia="宋体" w:cs="宋体"/>
                <w:sz w:val="24"/>
                <w:szCs w:val="24"/>
              </w:rPr>
              <w:t>0.483</w:t>
            </w:r>
          </w:p>
        </w:tc>
        <w:tc>
          <w:tcPr>
            <w:tcW w:w="108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0.477</w:t>
            </w:r>
          </w:p>
          <w:p>
            <w:pPr>
              <w:rPr>
                <w:rFonts w:hint="eastAsia" w:ascii="宋体" w:hAnsi="宋体" w:eastAsia="宋体" w:cs="宋体"/>
                <w:sz w:val="24"/>
                <w:szCs w:val="24"/>
              </w:rPr>
            </w:pPr>
            <w:r>
              <w:rPr>
                <w:rFonts w:hint="eastAsia" w:ascii="宋体" w:hAnsi="宋体" w:eastAsia="宋体" w:cs="宋体"/>
                <w:sz w:val="24"/>
                <w:szCs w:val="24"/>
              </w:rPr>
              <w:t>0.433</w:t>
            </w:r>
          </w:p>
        </w:tc>
        <w:tc>
          <w:tcPr>
            <w:tcW w:w="1440" w:type="dxa"/>
            <w:noWrap w:val="0"/>
            <w:vAlign w:val="top"/>
          </w:tcPr>
          <w:p>
            <w:pPr>
              <w:rPr>
                <w:rFonts w:hint="eastAsia" w:ascii="宋体" w:hAnsi="宋体" w:eastAsia="宋体" w:cs="宋体"/>
                <w:sz w:val="24"/>
                <w:szCs w:val="24"/>
              </w:rPr>
            </w:pPr>
            <w:r>
              <w:rPr>
                <w:rFonts w:hint="eastAsia" w:ascii="宋体" w:hAnsi="宋体" w:eastAsia="宋体" w:cs="宋体"/>
                <w:sz w:val="24"/>
                <w:szCs w:val="24"/>
              </w:rPr>
              <w:t>≥27%</w:t>
            </w:r>
          </w:p>
        </w:tc>
      </w:tr>
    </w:tbl>
    <w:p>
      <w:pPr>
        <w:numPr>
          <w:ilvl w:val="0"/>
          <w:numId w:val="76"/>
        </w:numPr>
        <w:bidi w:val="0"/>
        <w:spacing w:line="360" w:lineRule="auto"/>
        <w:ind w:left="680" w:leftChars="0" w:hanging="340" w:firstLineChars="0"/>
        <w:rPr>
          <w:rFonts w:hint="eastAsia"/>
          <w:sz w:val="24"/>
          <w:szCs w:val="24"/>
        </w:rPr>
      </w:pPr>
      <w:r>
        <w:rPr>
          <w:rFonts w:hint="eastAsia"/>
          <w:sz w:val="24"/>
          <w:szCs w:val="24"/>
        </w:rPr>
        <w:t>标线在规定的使用期限内，不应出现明显的变色。</w:t>
      </w:r>
    </w:p>
    <w:p>
      <w:pPr>
        <w:rPr>
          <w:rFonts w:hint="eastAsia"/>
          <w:sz w:val="24"/>
          <w:szCs w:val="24"/>
        </w:rPr>
      </w:pPr>
    </w:p>
    <w:p>
      <w:pPr>
        <w:rPr>
          <w:rFonts w:hint="eastAsia"/>
          <w:sz w:val="24"/>
          <w:szCs w:val="24"/>
        </w:rPr>
      </w:pPr>
    </w:p>
    <w:p>
      <w:pPr>
        <w:numPr>
          <w:ilvl w:val="0"/>
          <w:numId w:val="70"/>
        </w:numPr>
        <w:spacing w:line="360" w:lineRule="auto"/>
        <w:ind w:left="425" w:leftChars="0" w:hanging="425" w:firstLineChars="0"/>
        <w:rPr>
          <w:rFonts w:hint="eastAsia" w:hAnsi="宋体" w:cs="Arial"/>
          <w:color w:val="000000"/>
          <w:sz w:val="24"/>
          <w:lang w:val="en-US" w:eastAsia="zh-CN"/>
        </w:rPr>
      </w:pPr>
      <w:bookmarkStart w:id="267" w:name="_Toc325034674"/>
      <w:r>
        <w:rPr>
          <w:rFonts w:hint="eastAsia" w:hAnsi="宋体" w:cs="Arial"/>
          <w:color w:val="000000"/>
          <w:sz w:val="24"/>
          <w:lang w:val="en-US" w:eastAsia="zh-CN"/>
        </w:rPr>
        <w:t>材料要求</w:t>
      </w:r>
      <w:bookmarkEnd w:id="267"/>
    </w:p>
    <w:p>
      <w:pPr>
        <w:numPr>
          <w:ilvl w:val="0"/>
          <w:numId w:val="77"/>
        </w:numPr>
        <w:bidi w:val="0"/>
        <w:spacing w:line="360" w:lineRule="auto"/>
        <w:ind w:left="680" w:leftChars="0" w:hanging="340" w:firstLineChars="0"/>
        <w:rPr>
          <w:rFonts w:hint="eastAsia"/>
          <w:sz w:val="24"/>
          <w:szCs w:val="24"/>
        </w:rPr>
      </w:pPr>
      <w:bookmarkStart w:id="268" w:name="_Toc325034675"/>
      <w:r>
        <w:rPr>
          <w:rFonts w:hint="eastAsia"/>
          <w:sz w:val="24"/>
          <w:szCs w:val="24"/>
        </w:rPr>
        <w:t>热熔型标线涂料的技术要求</w:t>
      </w:r>
      <w:bookmarkEnd w:id="268"/>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7"/>
        <w:gridCol w:w="636"/>
        <w:gridCol w:w="5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083" w:type="dxa"/>
            <w:gridSpan w:val="2"/>
            <w:vMerge w:val="restart"/>
            <w:tcBorders>
              <w:tl2br w:val="single" w:color="auto" w:sz="4" w:space="0"/>
            </w:tcBorders>
            <w:noWrap w:val="0"/>
            <w:vAlign w:val="top"/>
          </w:tcPr>
          <w:p>
            <w:pPr>
              <w:rPr>
                <w:rFonts w:hint="eastAsia"/>
                <w:sz w:val="24"/>
                <w:szCs w:val="24"/>
              </w:rPr>
            </w:pPr>
            <w:r>
              <w:rPr>
                <w:rFonts w:hint="eastAsia"/>
                <w:sz w:val="24"/>
                <w:szCs w:val="24"/>
              </w:rPr>
              <w:t xml:space="preserve">                   种类</w:t>
            </w:r>
          </w:p>
          <w:p>
            <w:pPr>
              <w:rPr>
                <w:rFonts w:hint="eastAsia"/>
                <w:sz w:val="24"/>
                <w:szCs w:val="24"/>
              </w:rPr>
            </w:pPr>
            <w:r>
              <w:rPr>
                <w:rFonts w:hint="eastAsia"/>
                <w:sz w:val="24"/>
                <w:szCs w:val="24"/>
              </w:rPr>
              <w:t xml:space="preserve">  项目</w:t>
            </w:r>
          </w:p>
        </w:tc>
        <w:tc>
          <w:tcPr>
            <w:tcW w:w="5351" w:type="dxa"/>
            <w:noWrap w:val="0"/>
            <w:vAlign w:val="top"/>
          </w:tcPr>
          <w:p>
            <w:pPr>
              <w:rPr>
                <w:rFonts w:hint="eastAsia"/>
                <w:sz w:val="24"/>
                <w:szCs w:val="24"/>
              </w:rPr>
            </w:pPr>
            <w:r>
              <w:rPr>
                <w:rFonts w:hint="eastAsia"/>
                <w:sz w:val="24"/>
                <w:szCs w:val="24"/>
              </w:rPr>
              <w:t>热  熔  型  迷  涂  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083" w:type="dxa"/>
            <w:gridSpan w:val="2"/>
            <w:vMerge w:val="continue"/>
            <w:noWrap w:val="0"/>
            <w:vAlign w:val="top"/>
          </w:tcPr>
          <w:p>
            <w:pPr>
              <w:rPr>
                <w:rFonts w:hint="eastAsia"/>
                <w:sz w:val="24"/>
                <w:szCs w:val="24"/>
              </w:rPr>
            </w:pPr>
          </w:p>
        </w:tc>
        <w:tc>
          <w:tcPr>
            <w:tcW w:w="5351" w:type="dxa"/>
            <w:noWrap w:val="0"/>
            <w:vAlign w:val="top"/>
          </w:tcPr>
          <w:p>
            <w:pPr>
              <w:rPr>
                <w:rFonts w:hint="eastAsia"/>
                <w:sz w:val="24"/>
                <w:szCs w:val="24"/>
              </w:rPr>
            </w:pPr>
            <w:r>
              <w:rPr>
                <w:rFonts w:hint="eastAsia"/>
                <w:sz w:val="24"/>
                <w:szCs w:val="24"/>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top"/>
          </w:tcPr>
          <w:p>
            <w:pPr>
              <w:rPr>
                <w:rFonts w:hint="eastAsia"/>
                <w:sz w:val="24"/>
                <w:szCs w:val="24"/>
              </w:rPr>
            </w:pPr>
            <w:r>
              <w:rPr>
                <w:rFonts w:hint="eastAsia"/>
                <w:sz w:val="24"/>
                <w:szCs w:val="24"/>
              </w:rPr>
              <w:t>相对密度</w:t>
            </w:r>
          </w:p>
        </w:tc>
        <w:tc>
          <w:tcPr>
            <w:tcW w:w="5351" w:type="dxa"/>
            <w:noWrap w:val="0"/>
            <w:vAlign w:val="center"/>
          </w:tcPr>
          <w:p>
            <w:pPr>
              <w:rPr>
                <w:rFonts w:hint="eastAsia"/>
                <w:sz w:val="24"/>
                <w:szCs w:val="24"/>
              </w:rPr>
            </w:pPr>
            <w:r>
              <w:rPr>
                <w:rFonts w:hint="eastAsia"/>
                <w:sz w:val="24"/>
                <w:szCs w:val="24"/>
              </w:rPr>
              <w:t>1.8-2.3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top"/>
          </w:tcPr>
          <w:p>
            <w:pPr>
              <w:rPr>
                <w:rFonts w:hint="eastAsia"/>
                <w:sz w:val="24"/>
                <w:szCs w:val="24"/>
              </w:rPr>
            </w:pPr>
            <w:r>
              <w:rPr>
                <w:rFonts w:hint="eastAsia"/>
                <w:sz w:val="24"/>
                <w:szCs w:val="24"/>
              </w:rPr>
              <w:t>软化点C</w:t>
            </w:r>
          </w:p>
        </w:tc>
        <w:tc>
          <w:tcPr>
            <w:tcW w:w="5351" w:type="dxa"/>
            <w:noWrap w:val="0"/>
            <w:vAlign w:val="center"/>
          </w:tcPr>
          <w:p>
            <w:pPr>
              <w:rPr>
                <w:rFonts w:hint="eastAsia"/>
                <w:sz w:val="24"/>
                <w:szCs w:val="24"/>
              </w:rPr>
            </w:pPr>
            <w:r>
              <w:rPr>
                <w:rFonts w:hint="eastAsia"/>
                <w:sz w:val="24"/>
                <w:szCs w:val="24"/>
              </w:rPr>
              <w:t>90-140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top"/>
          </w:tcPr>
          <w:p>
            <w:pPr>
              <w:rPr>
                <w:rFonts w:hint="eastAsia"/>
                <w:sz w:val="24"/>
                <w:szCs w:val="24"/>
              </w:rPr>
            </w:pPr>
            <w:r>
              <w:rPr>
                <w:rFonts w:hint="eastAsia"/>
                <w:sz w:val="24"/>
                <w:szCs w:val="24"/>
              </w:rPr>
              <w:t>涂膜颜色及外观</w:t>
            </w:r>
          </w:p>
        </w:tc>
        <w:tc>
          <w:tcPr>
            <w:tcW w:w="5351" w:type="dxa"/>
            <w:noWrap w:val="0"/>
            <w:vAlign w:val="top"/>
          </w:tcPr>
          <w:p>
            <w:pPr>
              <w:rPr>
                <w:rFonts w:hint="eastAsia"/>
                <w:sz w:val="24"/>
                <w:szCs w:val="24"/>
              </w:rPr>
            </w:pPr>
            <w:r>
              <w:rPr>
                <w:rFonts w:hint="eastAsia"/>
                <w:sz w:val="24"/>
                <w:szCs w:val="24"/>
              </w:rPr>
              <w:t>涂膜冷却后应无皱纹、斑点、起泡、裂纹、脱落及表面无发粘等现象，颜色范围应符合GB/T 8416的规定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top"/>
          </w:tcPr>
          <w:p>
            <w:pPr>
              <w:rPr>
                <w:rFonts w:hint="eastAsia"/>
                <w:sz w:val="24"/>
                <w:szCs w:val="24"/>
              </w:rPr>
            </w:pPr>
            <w:r>
              <w:rPr>
                <w:rFonts w:hint="eastAsia"/>
                <w:sz w:val="24"/>
                <w:szCs w:val="24"/>
              </w:rPr>
              <w:t>不粘胎干燥时间</w:t>
            </w:r>
          </w:p>
          <w:p>
            <w:pPr>
              <w:rPr>
                <w:rFonts w:hint="eastAsia"/>
                <w:sz w:val="24"/>
                <w:szCs w:val="24"/>
              </w:rPr>
            </w:pPr>
            <w:r>
              <w:rPr>
                <w:rFonts w:hint="eastAsia"/>
                <w:sz w:val="24"/>
                <w:szCs w:val="24"/>
              </w:rPr>
              <w:t>min</w:t>
            </w:r>
          </w:p>
        </w:tc>
        <w:tc>
          <w:tcPr>
            <w:tcW w:w="5351" w:type="dxa"/>
            <w:noWrap w:val="0"/>
            <w:vAlign w:val="center"/>
          </w:tcPr>
          <w:p>
            <w:pPr>
              <w:rPr>
                <w:rFonts w:hint="eastAsia"/>
                <w:sz w:val="24"/>
                <w:szCs w:val="24"/>
              </w:rPr>
            </w:pPr>
            <w:r>
              <w:rPr>
                <w:rFonts w:hint="eastAsia"/>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center"/>
          </w:tcPr>
          <w:p>
            <w:pPr>
              <w:rPr>
                <w:rFonts w:hint="eastAsia"/>
                <w:sz w:val="24"/>
                <w:szCs w:val="24"/>
              </w:rPr>
            </w:pPr>
            <w:r>
              <w:rPr>
                <w:rFonts w:hint="eastAsia"/>
                <w:sz w:val="24"/>
                <w:szCs w:val="24"/>
              </w:rPr>
              <w:t>抗压强度Pa</w:t>
            </w:r>
          </w:p>
        </w:tc>
        <w:tc>
          <w:tcPr>
            <w:tcW w:w="5351" w:type="dxa"/>
            <w:noWrap w:val="0"/>
            <w:vAlign w:val="center"/>
          </w:tcPr>
          <w:p>
            <w:pPr>
              <w:rPr>
                <w:rFonts w:hint="eastAsia"/>
                <w:sz w:val="24"/>
                <w:szCs w:val="24"/>
              </w:rPr>
            </w:pPr>
            <w:r>
              <w:rPr>
                <w:rFonts w:hint="eastAsia"/>
                <w:sz w:val="24"/>
                <w:szCs w:val="24"/>
              </w:rPr>
              <w:t>≥1.2×107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center"/>
          </w:tcPr>
          <w:p>
            <w:pPr>
              <w:rPr>
                <w:rFonts w:hint="eastAsia"/>
                <w:sz w:val="24"/>
                <w:szCs w:val="24"/>
              </w:rPr>
            </w:pPr>
            <w:r>
              <w:rPr>
                <w:rFonts w:hint="eastAsia"/>
                <w:sz w:val="24"/>
                <w:szCs w:val="24"/>
              </w:rPr>
              <w:t>耐磨性mg</w:t>
            </w:r>
          </w:p>
        </w:tc>
        <w:tc>
          <w:tcPr>
            <w:tcW w:w="5351" w:type="dxa"/>
            <w:noWrap w:val="0"/>
            <w:vAlign w:val="center"/>
          </w:tcPr>
          <w:p>
            <w:pPr>
              <w:rPr>
                <w:rFonts w:hint="eastAsia"/>
                <w:sz w:val="24"/>
                <w:szCs w:val="24"/>
              </w:rPr>
            </w:pPr>
            <w:r>
              <w:rPr>
                <w:rFonts w:hint="eastAsia"/>
                <w:sz w:val="24"/>
                <w:szCs w:val="24"/>
              </w:rPr>
              <w:t>≤60(200 r/1000 g 磨耗减重)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center"/>
          </w:tcPr>
          <w:p>
            <w:pPr>
              <w:rPr>
                <w:rFonts w:hint="eastAsia"/>
                <w:sz w:val="24"/>
                <w:szCs w:val="24"/>
              </w:rPr>
            </w:pPr>
            <w:r>
              <w:rPr>
                <w:rFonts w:hint="eastAsia"/>
                <w:sz w:val="24"/>
                <w:szCs w:val="24"/>
              </w:rPr>
              <w:t>白色度</w:t>
            </w:r>
          </w:p>
        </w:tc>
        <w:tc>
          <w:tcPr>
            <w:tcW w:w="5351" w:type="dxa"/>
            <w:noWrap w:val="0"/>
            <w:vAlign w:val="center"/>
          </w:tcPr>
          <w:p>
            <w:pPr>
              <w:rPr>
                <w:rFonts w:hint="eastAsia"/>
                <w:sz w:val="24"/>
                <w:szCs w:val="24"/>
              </w:rPr>
            </w:pPr>
            <w:r>
              <w:rPr>
                <w:rFonts w:hint="eastAsia"/>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center"/>
          </w:tcPr>
          <w:p>
            <w:pPr>
              <w:rPr>
                <w:rFonts w:hint="eastAsia"/>
                <w:sz w:val="24"/>
                <w:szCs w:val="24"/>
              </w:rPr>
            </w:pPr>
            <w:r>
              <w:rPr>
                <w:rFonts w:hint="eastAsia"/>
                <w:sz w:val="24"/>
                <w:szCs w:val="24"/>
              </w:rPr>
              <w:t>耐碱性</w:t>
            </w:r>
          </w:p>
        </w:tc>
        <w:tc>
          <w:tcPr>
            <w:tcW w:w="5351" w:type="dxa"/>
            <w:noWrap w:val="0"/>
            <w:vAlign w:val="center"/>
          </w:tcPr>
          <w:p>
            <w:pPr>
              <w:rPr>
                <w:rFonts w:hint="eastAsia"/>
                <w:sz w:val="24"/>
                <w:szCs w:val="24"/>
              </w:rPr>
            </w:pPr>
            <w:r>
              <w:rPr>
                <w:rFonts w:hint="eastAsia"/>
                <w:sz w:val="24"/>
                <w:szCs w:val="24"/>
              </w:rPr>
              <w:t xml:space="preserve">  在氢氧化钙饱和溶液中浸泡18h应无开裂、起泡、孔隙、剥离、起皱等异常现象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83" w:type="dxa"/>
            <w:gridSpan w:val="2"/>
            <w:noWrap w:val="0"/>
            <w:vAlign w:val="center"/>
          </w:tcPr>
          <w:p>
            <w:pPr>
              <w:rPr>
                <w:rFonts w:hint="eastAsia"/>
                <w:sz w:val="24"/>
                <w:szCs w:val="24"/>
              </w:rPr>
            </w:pPr>
            <w:r>
              <w:rPr>
                <w:rFonts w:hint="eastAsia"/>
                <w:sz w:val="24"/>
                <w:szCs w:val="24"/>
              </w:rPr>
              <w:t>加热殘留份（%）</w:t>
            </w:r>
          </w:p>
        </w:tc>
        <w:tc>
          <w:tcPr>
            <w:tcW w:w="5351" w:type="dxa"/>
            <w:noWrap w:val="0"/>
            <w:vAlign w:val="center"/>
          </w:tcPr>
          <w:p>
            <w:pPr>
              <w:rPr>
                <w:rFonts w:hint="eastAsia"/>
                <w:sz w:val="24"/>
                <w:szCs w:val="24"/>
              </w:rPr>
            </w:pPr>
            <w:r>
              <w:rPr>
                <w:rFonts w:hint="eastAsia"/>
                <w:sz w:val="24"/>
                <w:szCs w:val="24"/>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447" w:type="dxa"/>
            <w:vMerge w:val="restart"/>
            <w:noWrap w:val="0"/>
            <w:vAlign w:val="top"/>
          </w:tcPr>
          <w:p>
            <w:pPr>
              <w:rPr>
                <w:rFonts w:hint="eastAsia"/>
                <w:sz w:val="24"/>
                <w:szCs w:val="24"/>
              </w:rPr>
            </w:pPr>
            <w:r>
              <w:rPr>
                <w:rFonts w:hint="eastAsia"/>
                <w:sz w:val="24"/>
                <w:szCs w:val="24"/>
              </w:rPr>
              <w:t>逆反射系数</w:t>
            </w:r>
          </w:p>
          <w:p>
            <w:pPr>
              <w:rPr>
                <w:rFonts w:hint="eastAsia"/>
                <w:sz w:val="24"/>
                <w:szCs w:val="24"/>
              </w:rPr>
            </w:pPr>
            <w:r>
              <w:rPr>
                <w:rFonts w:hint="eastAsia"/>
                <w:sz w:val="24"/>
                <w:szCs w:val="24"/>
              </w:rPr>
              <w:t>Mcd.1x-1.m-2</w:t>
            </w:r>
          </w:p>
        </w:tc>
        <w:tc>
          <w:tcPr>
            <w:tcW w:w="636" w:type="dxa"/>
            <w:noWrap w:val="0"/>
            <w:vAlign w:val="center"/>
          </w:tcPr>
          <w:p>
            <w:pPr>
              <w:rPr>
                <w:rFonts w:hint="eastAsia"/>
                <w:sz w:val="24"/>
                <w:szCs w:val="24"/>
              </w:rPr>
            </w:pPr>
            <w:r>
              <w:rPr>
                <w:rFonts w:hint="eastAsia"/>
                <w:sz w:val="24"/>
                <w:szCs w:val="24"/>
              </w:rPr>
              <w:t>白</w:t>
            </w:r>
          </w:p>
        </w:tc>
        <w:tc>
          <w:tcPr>
            <w:tcW w:w="5351" w:type="dxa"/>
            <w:noWrap w:val="0"/>
            <w:vAlign w:val="center"/>
          </w:tcPr>
          <w:p>
            <w:pPr>
              <w:rPr>
                <w:rFonts w:hint="eastAsia"/>
                <w:sz w:val="24"/>
                <w:szCs w:val="24"/>
              </w:rPr>
            </w:pPr>
            <w:r>
              <w:rPr>
                <w:rFonts w:hint="eastAsia"/>
                <w:sz w:val="24"/>
                <w:szCs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447" w:type="dxa"/>
            <w:vMerge w:val="continue"/>
            <w:noWrap w:val="0"/>
            <w:vAlign w:val="center"/>
          </w:tcPr>
          <w:p>
            <w:pPr>
              <w:rPr>
                <w:rFonts w:hint="eastAsia"/>
                <w:sz w:val="24"/>
                <w:szCs w:val="24"/>
              </w:rPr>
            </w:pPr>
          </w:p>
        </w:tc>
        <w:tc>
          <w:tcPr>
            <w:tcW w:w="636" w:type="dxa"/>
            <w:noWrap w:val="0"/>
            <w:vAlign w:val="center"/>
          </w:tcPr>
          <w:p>
            <w:pPr>
              <w:rPr>
                <w:rFonts w:hint="eastAsia"/>
                <w:sz w:val="24"/>
                <w:szCs w:val="24"/>
              </w:rPr>
            </w:pPr>
            <w:r>
              <w:rPr>
                <w:rFonts w:hint="eastAsia"/>
                <w:sz w:val="24"/>
                <w:szCs w:val="24"/>
              </w:rPr>
              <w:t>黄</w:t>
            </w:r>
          </w:p>
        </w:tc>
        <w:tc>
          <w:tcPr>
            <w:tcW w:w="5351" w:type="dxa"/>
            <w:noWrap w:val="0"/>
            <w:vAlign w:val="center"/>
          </w:tcPr>
          <w:p>
            <w:pPr>
              <w:rPr>
                <w:rFonts w:hint="eastAsia"/>
                <w:sz w:val="24"/>
                <w:szCs w:val="24"/>
              </w:rPr>
            </w:pPr>
            <w:r>
              <w:rPr>
                <w:rFonts w:hint="eastAsia"/>
                <w:sz w:val="24"/>
                <w:szCs w:val="24"/>
              </w:rPr>
              <w:t>≥100</w:t>
            </w:r>
          </w:p>
        </w:tc>
      </w:tr>
    </w:tbl>
    <w:p>
      <w:pPr>
        <w:numPr>
          <w:ilvl w:val="0"/>
          <w:numId w:val="0"/>
        </w:numPr>
        <w:bidi w:val="0"/>
        <w:spacing w:line="360" w:lineRule="auto"/>
        <w:ind w:left="340" w:leftChars="0"/>
        <w:rPr>
          <w:rFonts w:hint="eastAsia"/>
          <w:sz w:val="24"/>
          <w:szCs w:val="24"/>
        </w:rPr>
      </w:pPr>
      <w:bookmarkStart w:id="269" w:name="_Toc325034676"/>
    </w:p>
    <w:p>
      <w:pPr>
        <w:numPr>
          <w:ilvl w:val="0"/>
          <w:numId w:val="77"/>
        </w:numPr>
        <w:bidi w:val="0"/>
        <w:spacing w:line="360" w:lineRule="auto"/>
        <w:ind w:left="680" w:leftChars="0" w:hanging="340" w:firstLineChars="0"/>
        <w:rPr>
          <w:rFonts w:hint="eastAsia"/>
          <w:sz w:val="24"/>
          <w:szCs w:val="24"/>
        </w:rPr>
      </w:pPr>
      <w:r>
        <w:rPr>
          <w:rFonts w:hint="eastAsia"/>
          <w:sz w:val="24"/>
          <w:szCs w:val="24"/>
        </w:rPr>
        <w:t>玻璃珠的的技术要求</w:t>
      </w:r>
      <w:bookmarkEnd w:id="26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4"/>
        <w:gridCol w:w="4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594" w:type="dxa"/>
            <w:tcBorders>
              <w:tl2br w:val="single" w:color="auto" w:sz="4" w:space="0"/>
            </w:tcBorders>
            <w:noWrap w:val="0"/>
            <w:vAlign w:val="top"/>
          </w:tcPr>
          <w:p>
            <w:pPr>
              <w:rPr>
                <w:rFonts w:hint="eastAsia"/>
                <w:sz w:val="24"/>
                <w:szCs w:val="24"/>
              </w:rPr>
            </w:pPr>
            <w:r>
              <w:rPr>
                <w:rFonts w:hint="eastAsia"/>
                <w:sz w:val="24"/>
                <w:szCs w:val="24"/>
              </w:rPr>
              <w:t xml:space="preserve">             种类</w:t>
            </w:r>
          </w:p>
          <w:p>
            <w:pPr>
              <w:rPr>
                <w:rFonts w:hint="eastAsia"/>
                <w:sz w:val="24"/>
                <w:szCs w:val="24"/>
              </w:rPr>
            </w:pPr>
            <w:r>
              <w:rPr>
                <w:rFonts w:hint="eastAsia"/>
                <w:sz w:val="24"/>
                <w:szCs w:val="24"/>
              </w:rPr>
              <w:t xml:space="preserve">  项目</w:t>
            </w:r>
          </w:p>
        </w:tc>
        <w:tc>
          <w:tcPr>
            <w:tcW w:w="4928" w:type="dxa"/>
            <w:noWrap w:val="0"/>
            <w:vAlign w:val="center"/>
          </w:tcPr>
          <w:p>
            <w:pPr>
              <w:rPr>
                <w:rFonts w:hint="eastAsia"/>
                <w:sz w:val="24"/>
                <w:szCs w:val="24"/>
              </w:rPr>
            </w:pPr>
            <w:r>
              <w:rPr>
                <w:rFonts w:hint="eastAsia"/>
                <w:sz w:val="24"/>
                <w:szCs w:val="24"/>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3594" w:type="dxa"/>
            <w:noWrap w:val="0"/>
            <w:vAlign w:val="center"/>
          </w:tcPr>
          <w:p>
            <w:pPr>
              <w:rPr>
                <w:rFonts w:hint="eastAsia"/>
                <w:sz w:val="24"/>
                <w:szCs w:val="24"/>
              </w:rPr>
            </w:pPr>
            <w:r>
              <w:rPr>
                <w:rFonts w:hint="eastAsia"/>
                <w:sz w:val="24"/>
                <w:szCs w:val="24"/>
              </w:rPr>
              <w:t>容器中玻璃珠状态</w:t>
            </w:r>
          </w:p>
        </w:tc>
        <w:tc>
          <w:tcPr>
            <w:tcW w:w="4928" w:type="dxa"/>
            <w:noWrap w:val="0"/>
            <w:vAlign w:val="center"/>
          </w:tcPr>
          <w:p>
            <w:pPr>
              <w:rPr>
                <w:rFonts w:hint="eastAsia"/>
                <w:sz w:val="24"/>
                <w:szCs w:val="24"/>
              </w:rPr>
            </w:pPr>
            <w:r>
              <w:rPr>
                <w:rFonts w:hint="eastAsia"/>
                <w:sz w:val="24"/>
                <w:szCs w:val="24"/>
              </w:rPr>
              <w:t>粒状或松散团状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594" w:type="dxa"/>
            <w:noWrap w:val="0"/>
            <w:vAlign w:val="center"/>
          </w:tcPr>
          <w:p>
            <w:pPr>
              <w:rPr>
                <w:rFonts w:hint="eastAsia"/>
                <w:sz w:val="24"/>
                <w:szCs w:val="24"/>
              </w:rPr>
            </w:pPr>
            <w:r>
              <w:rPr>
                <w:rFonts w:hint="eastAsia"/>
                <w:sz w:val="24"/>
                <w:szCs w:val="24"/>
              </w:rPr>
              <w:t>密度(在23C±2C的二进甲苯中)</w:t>
            </w:r>
          </w:p>
        </w:tc>
        <w:tc>
          <w:tcPr>
            <w:tcW w:w="4928" w:type="dxa"/>
            <w:noWrap w:val="0"/>
            <w:vAlign w:val="center"/>
          </w:tcPr>
          <w:p>
            <w:pPr>
              <w:rPr>
                <w:rFonts w:hint="eastAsia"/>
                <w:sz w:val="24"/>
                <w:szCs w:val="24"/>
              </w:rPr>
            </w:pPr>
            <w:r>
              <w:rPr>
                <w:rFonts w:hint="eastAsia"/>
                <w:sz w:val="24"/>
                <w:szCs w:val="24"/>
              </w:rPr>
              <w:t>2.4-2.6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3594" w:type="dxa"/>
            <w:vMerge w:val="restart"/>
            <w:noWrap w:val="0"/>
            <w:vAlign w:val="center"/>
          </w:tcPr>
          <w:p>
            <w:pPr>
              <w:rPr>
                <w:rFonts w:hint="eastAsia"/>
                <w:sz w:val="24"/>
                <w:szCs w:val="24"/>
              </w:rPr>
            </w:pPr>
            <w:r>
              <w:rPr>
                <w:rFonts w:hint="eastAsia"/>
                <w:sz w:val="24"/>
                <w:szCs w:val="24"/>
              </w:rPr>
              <w:t>粒径</w:t>
            </w:r>
          </w:p>
        </w:tc>
        <w:tc>
          <w:tcPr>
            <w:tcW w:w="4928" w:type="dxa"/>
            <w:noWrap w:val="0"/>
            <w:vAlign w:val="center"/>
          </w:tcPr>
          <w:p>
            <w:pPr>
              <w:rPr>
                <w:rFonts w:hint="eastAsia"/>
                <w:sz w:val="24"/>
                <w:szCs w:val="24"/>
              </w:rPr>
            </w:pPr>
            <w:r>
              <w:rPr>
                <w:rFonts w:hint="eastAsia"/>
                <w:sz w:val="24"/>
                <w:szCs w:val="24"/>
              </w:rPr>
              <w:t>标准筛筛号(目)        筛余物(%)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3594" w:type="dxa"/>
            <w:vMerge w:val="continue"/>
            <w:noWrap w:val="0"/>
            <w:vAlign w:val="center"/>
          </w:tcPr>
          <w:p>
            <w:pPr>
              <w:rPr>
                <w:rFonts w:hint="eastAsia"/>
                <w:sz w:val="24"/>
                <w:szCs w:val="24"/>
              </w:rPr>
            </w:pPr>
          </w:p>
        </w:tc>
        <w:tc>
          <w:tcPr>
            <w:tcW w:w="4928" w:type="dxa"/>
            <w:noWrap w:val="0"/>
            <w:vAlign w:val="center"/>
          </w:tcPr>
          <w:p>
            <w:pPr>
              <w:rPr>
                <w:rFonts w:hint="eastAsia"/>
                <w:sz w:val="24"/>
                <w:szCs w:val="24"/>
              </w:rPr>
            </w:pPr>
            <w:r>
              <w:rPr>
                <w:rFonts w:hint="eastAsia"/>
                <w:sz w:val="24"/>
                <w:szCs w:val="24"/>
              </w:rPr>
              <w:t xml:space="preserve">    30        </w:t>
            </w:r>
            <w:r>
              <w:rPr>
                <w:rFonts w:hint="eastAsia"/>
                <w:sz w:val="24"/>
                <w:szCs w:val="24"/>
                <w:lang w:val="en-US" w:eastAsia="zh-CN"/>
              </w:rPr>
              <w:t xml:space="preserve">    </w:t>
            </w:r>
            <w:r>
              <w:rPr>
                <w:rFonts w:hint="eastAsia"/>
                <w:sz w:val="24"/>
                <w:szCs w:val="24"/>
              </w:rPr>
              <w:t xml:space="preserve">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3594" w:type="dxa"/>
            <w:vMerge w:val="continue"/>
            <w:noWrap w:val="0"/>
            <w:vAlign w:val="center"/>
          </w:tcPr>
          <w:p>
            <w:pPr>
              <w:rPr>
                <w:rFonts w:hint="eastAsia"/>
                <w:sz w:val="24"/>
                <w:szCs w:val="24"/>
              </w:rPr>
            </w:pPr>
          </w:p>
        </w:tc>
        <w:tc>
          <w:tcPr>
            <w:tcW w:w="4928" w:type="dxa"/>
            <w:noWrap w:val="0"/>
            <w:vAlign w:val="center"/>
          </w:tcPr>
          <w:p>
            <w:pPr>
              <w:rPr>
                <w:rFonts w:hint="eastAsia"/>
                <w:sz w:val="24"/>
                <w:szCs w:val="24"/>
              </w:rPr>
            </w:pPr>
            <w:r>
              <w:rPr>
                <w:rFonts w:hint="eastAsia"/>
                <w:sz w:val="24"/>
                <w:szCs w:val="24"/>
              </w:rPr>
              <w:t xml:space="preserve">  30-50      </w:t>
            </w:r>
            <w:r>
              <w:rPr>
                <w:rFonts w:hint="eastAsia"/>
                <w:sz w:val="24"/>
                <w:szCs w:val="24"/>
                <w:lang w:val="en-US" w:eastAsia="zh-CN"/>
              </w:rPr>
              <w:t xml:space="preserve">     </w:t>
            </w:r>
            <w:r>
              <w:rPr>
                <w:rFonts w:hint="eastAsia"/>
                <w:sz w:val="24"/>
                <w:szCs w:val="24"/>
              </w:rPr>
              <w:t xml:space="preserve">     40-90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3594" w:type="dxa"/>
            <w:vMerge w:val="continue"/>
            <w:noWrap w:val="0"/>
            <w:vAlign w:val="center"/>
          </w:tcPr>
          <w:p>
            <w:pPr>
              <w:rPr>
                <w:rFonts w:hint="eastAsia"/>
                <w:sz w:val="24"/>
                <w:szCs w:val="24"/>
              </w:rPr>
            </w:pPr>
          </w:p>
        </w:tc>
        <w:tc>
          <w:tcPr>
            <w:tcW w:w="4928" w:type="dxa"/>
            <w:noWrap w:val="0"/>
            <w:vAlign w:val="center"/>
          </w:tcPr>
          <w:p>
            <w:pPr>
              <w:rPr>
                <w:rFonts w:hint="eastAsia"/>
                <w:sz w:val="24"/>
                <w:szCs w:val="24"/>
              </w:rPr>
            </w:pPr>
            <w:r>
              <w:rPr>
                <w:rFonts w:hint="eastAsia"/>
                <w:sz w:val="24"/>
                <w:szCs w:val="24"/>
              </w:rPr>
              <w:t xml:space="preserve">   100       </w:t>
            </w:r>
            <w:r>
              <w:rPr>
                <w:rFonts w:hint="eastAsia"/>
                <w:sz w:val="24"/>
                <w:szCs w:val="24"/>
                <w:lang w:val="en-US" w:eastAsia="zh-CN"/>
              </w:rPr>
              <w:t xml:space="preserve">     </w:t>
            </w:r>
            <w:r>
              <w:rPr>
                <w:rFonts w:hint="eastAsia"/>
                <w:sz w:val="24"/>
                <w:szCs w:val="24"/>
              </w:rPr>
              <w:t xml:space="preserve">     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594" w:type="dxa"/>
            <w:noWrap w:val="0"/>
            <w:vAlign w:val="center"/>
          </w:tcPr>
          <w:p>
            <w:pPr>
              <w:rPr>
                <w:rFonts w:hint="eastAsia"/>
                <w:sz w:val="24"/>
                <w:szCs w:val="24"/>
              </w:rPr>
            </w:pPr>
            <w:r>
              <w:rPr>
                <w:rFonts w:hint="eastAsia"/>
                <w:sz w:val="24"/>
                <w:szCs w:val="24"/>
              </w:rPr>
              <w:t>外观</w:t>
            </w:r>
          </w:p>
        </w:tc>
        <w:tc>
          <w:tcPr>
            <w:tcW w:w="4928" w:type="dxa"/>
            <w:noWrap w:val="0"/>
            <w:vAlign w:val="center"/>
          </w:tcPr>
          <w:p>
            <w:pPr>
              <w:rPr>
                <w:rFonts w:hint="eastAsia"/>
                <w:sz w:val="24"/>
                <w:szCs w:val="24"/>
              </w:rPr>
            </w:pPr>
            <w:r>
              <w:rPr>
                <w:rFonts w:hint="eastAsia"/>
                <w:sz w:val="24"/>
                <w:szCs w:val="24"/>
              </w:rPr>
              <w:t xml:space="preserve">  无色透明球状,扩大10-50倍观察时,熔融团、片状、尖状物，有色气泡等瑕疵珠不应超过总量的20%。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594" w:type="dxa"/>
            <w:noWrap w:val="0"/>
            <w:vAlign w:val="center"/>
          </w:tcPr>
          <w:p>
            <w:pPr>
              <w:rPr>
                <w:rFonts w:hint="eastAsia"/>
                <w:sz w:val="24"/>
                <w:szCs w:val="24"/>
              </w:rPr>
            </w:pPr>
            <w:r>
              <w:rPr>
                <w:rFonts w:hint="eastAsia"/>
                <w:sz w:val="24"/>
                <w:szCs w:val="24"/>
              </w:rPr>
              <w:t>折射率（20Cf浸渍法）</w:t>
            </w:r>
          </w:p>
        </w:tc>
        <w:tc>
          <w:tcPr>
            <w:tcW w:w="4928" w:type="dxa"/>
            <w:noWrap w:val="0"/>
            <w:vAlign w:val="center"/>
          </w:tcPr>
          <w:p>
            <w:pPr>
              <w:rPr>
                <w:rFonts w:hint="eastAsia"/>
                <w:sz w:val="24"/>
                <w:szCs w:val="24"/>
              </w:rPr>
            </w:pPr>
            <w:r>
              <w:rPr>
                <w:rFonts w:hint="eastAsia"/>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594" w:type="dxa"/>
            <w:noWrap w:val="0"/>
            <w:vAlign w:val="center"/>
          </w:tcPr>
          <w:p>
            <w:pPr>
              <w:rPr>
                <w:rFonts w:hint="eastAsia"/>
                <w:sz w:val="24"/>
                <w:szCs w:val="24"/>
              </w:rPr>
            </w:pPr>
            <w:r>
              <w:rPr>
                <w:rFonts w:hint="eastAsia"/>
                <w:sz w:val="24"/>
                <w:szCs w:val="24"/>
              </w:rPr>
              <w:t>耐水少性</w:t>
            </w:r>
          </w:p>
        </w:tc>
        <w:tc>
          <w:tcPr>
            <w:tcW w:w="4928" w:type="dxa"/>
            <w:noWrap w:val="0"/>
            <w:vAlign w:val="center"/>
          </w:tcPr>
          <w:p>
            <w:pPr>
              <w:rPr>
                <w:rFonts w:hint="eastAsia"/>
                <w:sz w:val="24"/>
                <w:szCs w:val="24"/>
              </w:rPr>
            </w:pPr>
            <w:r>
              <w:rPr>
                <w:rFonts w:hint="eastAsia"/>
                <w:sz w:val="24"/>
                <w:szCs w:val="24"/>
              </w:rPr>
              <w:t>取于10g样品放于100mL蒸馏水中,于沸腾水浴中加热1后冷却,玻璃表面就应出现糊状。中和这100mL水所需0.01m的盐酸应在10mL以下。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2"/>
            <w:noWrap w:val="0"/>
            <w:vAlign w:val="center"/>
          </w:tcPr>
          <w:p>
            <w:pPr>
              <w:rPr>
                <w:rFonts w:hint="eastAsia"/>
                <w:sz w:val="24"/>
                <w:szCs w:val="24"/>
              </w:rPr>
            </w:pPr>
            <w:r>
              <w:rPr>
                <w:rFonts w:hint="eastAsia"/>
                <w:sz w:val="24"/>
                <w:szCs w:val="24"/>
              </w:rPr>
              <w:t>注：对玻璃珠品质要求仅供厂家参考，在型式检验中不作为检验项目。</w:t>
            </w:r>
          </w:p>
        </w:tc>
      </w:tr>
    </w:tbl>
    <w:p>
      <w:pPr>
        <w:widowControl w:val="0"/>
        <w:numPr>
          <w:ilvl w:val="0"/>
          <w:numId w:val="0"/>
        </w:numPr>
        <w:spacing w:line="360" w:lineRule="auto"/>
        <w:jc w:val="both"/>
        <w:rPr>
          <w:rFonts w:hint="eastAsia" w:hAnsi="宋体" w:cs="Arial"/>
          <w:color w:val="000000"/>
          <w:sz w:val="24"/>
          <w:lang w:val="en-US" w:eastAsia="zh-CN"/>
        </w:rPr>
      </w:pPr>
    </w:p>
    <w:p>
      <w:pPr>
        <w:numPr>
          <w:ilvl w:val="0"/>
          <w:numId w:val="70"/>
        </w:numPr>
        <w:spacing w:line="360" w:lineRule="auto"/>
        <w:ind w:left="425" w:leftChars="0" w:hanging="425" w:firstLineChars="0"/>
        <w:rPr>
          <w:rFonts w:hint="eastAsia" w:hAnsi="宋体" w:cs="Arial"/>
          <w:color w:val="000000"/>
          <w:sz w:val="24"/>
          <w:lang w:val="en-US" w:eastAsia="zh-CN"/>
        </w:rPr>
      </w:pPr>
      <w:r>
        <w:rPr>
          <w:rFonts w:hint="eastAsia" w:hAnsi="宋体" w:cs="Arial"/>
          <w:color w:val="000000"/>
          <w:sz w:val="24"/>
          <w:lang w:val="en-US" w:eastAsia="zh-CN"/>
        </w:rPr>
        <w:t>热熔标线施工工艺</w:t>
      </w:r>
    </w:p>
    <w:p>
      <w:pPr>
        <w:numPr>
          <w:ilvl w:val="0"/>
          <w:numId w:val="78"/>
        </w:numPr>
        <w:bidi w:val="0"/>
        <w:spacing w:line="360" w:lineRule="auto"/>
        <w:ind w:left="680" w:leftChars="0" w:hanging="340" w:firstLineChars="0"/>
        <w:rPr>
          <w:rFonts w:hint="eastAsia"/>
          <w:sz w:val="24"/>
          <w:szCs w:val="24"/>
        </w:rPr>
      </w:pPr>
      <w:r>
        <w:rPr>
          <w:rFonts w:hint="eastAsia"/>
          <w:sz w:val="24"/>
          <w:szCs w:val="24"/>
          <w:lang w:val="en-US" w:eastAsia="zh-CN"/>
        </w:rPr>
        <w:t xml:space="preserve">涂料的加热融化 </w:t>
      </w:r>
    </w:p>
    <w:p>
      <w:pPr>
        <w:pStyle w:val="42"/>
        <w:rPr>
          <w:rFonts w:hint="eastAsia"/>
        </w:rPr>
      </w:pPr>
      <w:r>
        <w:rPr>
          <w:rFonts w:hint="eastAsia"/>
          <w:lang w:val="en-US" w:eastAsia="zh-CN"/>
        </w:rPr>
        <w:t>熔料过程是热熔道路标线施工中极其重要的环节，涂料一经确定，施工性能的好坏与熔料有很大的关系，不同厂家生产的涂料的温度与粘度间的对应关系是大不一样的。</w:t>
      </w:r>
    </w:p>
    <w:p>
      <w:pPr>
        <w:pStyle w:val="42"/>
        <w:ind w:firstLine="480"/>
        <w:rPr>
          <w:rFonts w:hint="eastAsia"/>
        </w:rPr>
      </w:pPr>
      <w:r>
        <w:rPr>
          <w:rFonts w:hint="eastAsia"/>
          <w:lang w:val="en-US" w:eastAsia="zh-CN"/>
        </w:rPr>
        <w:t xml:space="preserve">热熔涂料熔料过程中的注意事项 </w:t>
      </w:r>
    </w:p>
    <w:p>
      <w:pPr>
        <w:keepNext w:val="0"/>
        <w:keepLines w:val="0"/>
        <w:widowControl/>
        <w:suppressLineNumbers w:val="0"/>
        <w:spacing w:line="360" w:lineRule="auto"/>
        <w:ind w:left="1020" w:leftChars="300" w:firstLine="0" w:firstLineChars="0"/>
        <w:jc w:val="left"/>
        <w:rPr>
          <w:sz w:val="24"/>
          <w:szCs w:val="24"/>
        </w:rPr>
      </w:pPr>
      <w:r>
        <w:rPr>
          <w:rFonts w:hint="eastAsia" w:ascii="宋体" w:hAnsi="宋体" w:eastAsia="宋体" w:cs="宋体"/>
          <w:color w:val="000000"/>
          <w:kern w:val="0"/>
          <w:sz w:val="24"/>
          <w:szCs w:val="24"/>
          <w:lang w:val="en-US" w:eastAsia="zh-CN" w:bidi="ar"/>
        </w:rPr>
        <w:t>①熔料温度的确定。</w:t>
      </w:r>
    </w:p>
    <w:p>
      <w:pPr>
        <w:keepNext w:val="0"/>
        <w:keepLines w:val="0"/>
        <w:widowControl/>
        <w:suppressLineNumbers w:val="0"/>
        <w:spacing w:line="360" w:lineRule="auto"/>
        <w:ind w:left="1020" w:leftChars="30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②避免长时间高温加热涂料</w:t>
      </w:r>
    </w:p>
    <w:p>
      <w:pPr>
        <w:keepNext w:val="0"/>
        <w:keepLines w:val="0"/>
        <w:widowControl/>
        <w:suppressLineNumbers w:val="0"/>
        <w:spacing w:line="360" w:lineRule="auto"/>
        <w:ind w:left="1020" w:leftChars="30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③不同种类的热熔涂料尽量不要混用。</w:t>
      </w:r>
    </w:p>
    <w:p>
      <w:pPr>
        <w:keepNext w:val="0"/>
        <w:keepLines w:val="0"/>
        <w:widowControl/>
        <w:suppressLineNumbers w:val="0"/>
        <w:spacing w:line="360" w:lineRule="auto"/>
        <w:ind w:left="1020" w:leftChars="30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④热熔釜在初始加热时加料盖应一直处于打开状态，如不打开，热熔釜内加热的蒸气聚多时有可能着火，加料工人在猛然打开时，釜内气体一下宣泄而出，有可能烧伤工人</w:t>
      </w:r>
      <w:r>
        <w:rPr>
          <w:rFonts w:hint="eastAsia" w:hAnsi="宋体" w:cs="宋体"/>
          <w:color w:val="000000"/>
          <w:kern w:val="0"/>
          <w:sz w:val="24"/>
          <w:szCs w:val="24"/>
          <w:lang w:val="en-US" w:eastAsia="zh-CN" w:bidi="ar"/>
        </w:rPr>
        <w:t>。</w:t>
      </w:r>
    </w:p>
    <w:p>
      <w:pPr>
        <w:numPr>
          <w:ilvl w:val="0"/>
          <w:numId w:val="78"/>
        </w:numPr>
        <w:bidi w:val="0"/>
        <w:spacing w:line="360" w:lineRule="auto"/>
        <w:ind w:left="680" w:leftChars="0" w:hanging="340" w:firstLineChars="0"/>
        <w:rPr>
          <w:rFonts w:hint="eastAsia"/>
          <w:sz w:val="24"/>
          <w:szCs w:val="24"/>
          <w:lang w:val="en-US" w:eastAsia="zh-CN"/>
        </w:rPr>
      </w:pPr>
      <w:r>
        <w:rPr>
          <w:rFonts w:hint="eastAsia"/>
          <w:sz w:val="24"/>
          <w:szCs w:val="24"/>
          <w:lang w:val="en-US" w:eastAsia="zh-CN"/>
        </w:rPr>
        <w:t xml:space="preserve">清扫路面 </w:t>
      </w:r>
    </w:p>
    <w:p>
      <w:pPr>
        <w:pStyle w:val="42"/>
        <w:ind w:firstLine="480"/>
        <w:rPr>
          <w:rFonts w:hint="eastAsia"/>
          <w:lang w:val="en-US" w:eastAsia="zh-CN"/>
        </w:rPr>
      </w:pPr>
      <w:r>
        <w:rPr>
          <w:rFonts w:hint="eastAsia"/>
          <w:lang w:val="en-US" w:eastAsia="zh-CN"/>
        </w:rPr>
        <w:t>划基准线前先安排人员清扫标线区域内的石子、灰尘、泥砂并清除存在路面的水分等。</w:t>
      </w:r>
    </w:p>
    <w:p>
      <w:pPr>
        <w:numPr>
          <w:ilvl w:val="0"/>
          <w:numId w:val="78"/>
        </w:numPr>
        <w:bidi w:val="0"/>
        <w:spacing w:line="360" w:lineRule="auto"/>
        <w:ind w:left="680" w:leftChars="0" w:hanging="340" w:firstLineChars="0"/>
        <w:rPr>
          <w:rFonts w:hint="eastAsia"/>
          <w:sz w:val="24"/>
          <w:szCs w:val="24"/>
          <w:lang w:val="en-US" w:eastAsia="zh-CN"/>
        </w:rPr>
      </w:pPr>
      <w:r>
        <w:rPr>
          <w:rFonts w:hint="eastAsia"/>
          <w:sz w:val="24"/>
          <w:szCs w:val="24"/>
          <w:lang w:val="en-US" w:eastAsia="zh-CN"/>
        </w:rPr>
        <w:t xml:space="preserve">放样及施划基准线 </w:t>
      </w:r>
    </w:p>
    <w:p>
      <w:pPr>
        <w:pStyle w:val="42"/>
        <w:ind w:firstLine="480"/>
        <w:rPr>
          <w:rFonts w:hint="eastAsia"/>
          <w:lang w:val="en-US" w:eastAsia="zh-CN"/>
        </w:rPr>
      </w:pPr>
      <w:r>
        <w:rPr>
          <w:rFonts w:hint="eastAsia"/>
          <w:lang w:val="en-US" w:eastAsia="zh-CN"/>
        </w:rPr>
        <w:t>按设计图标明的位置和图形用测量工具和粉笔或白（红）油漆在路面作出标记。放样完成后应核对基准线位置和设计图位置是否一样。基准线一定要流畅光滑，基准线线形流畅与否直接影响到施工后的标线的整 体流畅性。</w:t>
      </w:r>
    </w:p>
    <w:p>
      <w:pPr>
        <w:numPr>
          <w:ilvl w:val="0"/>
          <w:numId w:val="78"/>
        </w:numPr>
        <w:bidi w:val="0"/>
        <w:spacing w:line="360" w:lineRule="auto"/>
        <w:ind w:left="680" w:leftChars="0" w:hanging="340" w:firstLineChars="0"/>
        <w:rPr>
          <w:rFonts w:hint="eastAsia"/>
          <w:sz w:val="24"/>
          <w:szCs w:val="24"/>
          <w:lang w:val="en-US" w:eastAsia="zh-CN"/>
        </w:rPr>
      </w:pPr>
      <w:r>
        <w:rPr>
          <w:rFonts w:hint="eastAsia"/>
          <w:sz w:val="24"/>
          <w:szCs w:val="24"/>
          <w:lang w:val="en-US" w:eastAsia="zh-CN"/>
        </w:rPr>
        <w:t>路面的再次清扫</w:t>
      </w:r>
    </w:p>
    <w:p>
      <w:pPr>
        <w:pStyle w:val="42"/>
        <w:ind w:firstLine="480"/>
        <w:rPr>
          <w:rFonts w:hint="eastAsia"/>
          <w:lang w:val="en-US" w:eastAsia="zh-CN"/>
        </w:rPr>
      </w:pPr>
      <w:r>
        <w:rPr>
          <w:rFonts w:hint="eastAsia"/>
          <w:lang w:val="en-US" w:eastAsia="zh-CN"/>
        </w:rPr>
        <w:t xml:space="preserve">本次清扫路面是为施划标线做准备。因大规模标线施工时一般都是先放基准线后施划标线，前后时间间距较长，原第一次清扫路 面的作用已不复存在，需重新清扫路面。此时应注意不仅仅是清理干净路面杂质、灰尘、泥土等，沥青路面还要派专人拿铁锹或铲子清理干净路面上因沥青所粘的石子，以免标线上出现划痕。水泥路面要用钢丝刷或清扫机清理干净路面碱性面层。 </w:t>
      </w:r>
    </w:p>
    <w:p>
      <w:pPr>
        <w:numPr>
          <w:ilvl w:val="0"/>
          <w:numId w:val="78"/>
        </w:numPr>
        <w:bidi w:val="0"/>
        <w:spacing w:line="360" w:lineRule="auto"/>
        <w:ind w:left="680" w:leftChars="0" w:hanging="340" w:firstLineChars="0"/>
        <w:rPr>
          <w:rFonts w:hint="eastAsia"/>
          <w:sz w:val="24"/>
          <w:szCs w:val="24"/>
          <w:lang w:val="en-US" w:eastAsia="zh-CN"/>
        </w:rPr>
      </w:pPr>
      <w:r>
        <w:rPr>
          <w:rFonts w:hint="eastAsia"/>
          <w:sz w:val="24"/>
          <w:szCs w:val="24"/>
          <w:lang w:val="en-US" w:eastAsia="zh-CN"/>
        </w:rPr>
        <w:t>标线涂敷</w:t>
      </w:r>
    </w:p>
    <w:p>
      <w:pPr>
        <w:pStyle w:val="42"/>
        <w:ind w:firstLine="480"/>
        <w:rPr>
          <w:rFonts w:hint="eastAsia"/>
          <w:lang w:val="en-US" w:eastAsia="zh-CN"/>
        </w:rPr>
      </w:pPr>
      <w:r>
        <w:rPr>
          <w:rFonts w:hint="eastAsia"/>
          <w:lang w:val="en-US" w:eastAsia="zh-CN"/>
        </w:rPr>
        <w:t>该环节是整个环节中最后的一个环节，也是极为重要的一个环节，此环节把握不好，就会造成前功尽弃，实际施工中应该应把握好以下各步骤：</w:t>
      </w:r>
    </w:p>
    <w:p>
      <w:pPr>
        <w:keepNext w:val="0"/>
        <w:keepLines w:val="0"/>
        <w:widowControl/>
        <w:numPr>
          <w:ilvl w:val="0"/>
          <w:numId w:val="79"/>
        </w:numPr>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施工设备的检查，确保标线设备处于完好状态。</w:t>
      </w:r>
    </w:p>
    <w:p>
      <w:pPr>
        <w:keepNext w:val="0"/>
        <w:keepLines w:val="0"/>
        <w:widowControl/>
        <w:numPr>
          <w:ilvl w:val="0"/>
          <w:numId w:val="79"/>
        </w:numPr>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施工中，要不时搅动涂料，以防涂料沉淀不均匀，影响施工质量； </w:t>
      </w:r>
    </w:p>
    <w:p>
      <w:pPr>
        <w:keepNext w:val="0"/>
        <w:keepLines w:val="0"/>
        <w:widowControl/>
        <w:numPr>
          <w:ilvl w:val="0"/>
          <w:numId w:val="79"/>
        </w:numPr>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玻璃珠的撒布要注意均匀，用量要适当； </w:t>
      </w:r>
    </w:p>
    <w:p>
      <w:pPr>
        <w:keepNext w:val="0"/>
        <w:keepLines w:val="0"/>
        <w:widowControl/>
        <w:numPr>
          <w:ilvl w:val="0"/>
          <w:numId w:val="79"/>
        </w:numPr>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新路面，尤其是水泥路面要尽量延期施工，如不能延期施工，要注意二次清扫工作，要将其上的碱性层用钢刷或清扫机清理干净。</w:t>
      </w:r>
    </w:p>
    <w:p>
      <w:pPr>
        <w:keepNext w:val="0"/>
        <w:keepLines w:val="0"/>
        <w:widowControl/>
        <w:numPr>
          <w:ilvl w:val="0"/>
          <w:numId w:val="79"/>
        </w:numPr>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修整。施划标线结束后，对不符合要求的标线进行修整。有些由于路面因素或施工不注意造成的一些流边等缺陷，应专人进行修理，确保完工后的标线线形美观，外观整齐。打扫路面上散落的玻璃珠以防过往行人和车辆滑倒发生事故</w:t>
      </w:r>
      <w:r>
        <w:rPr>
          <w:rFonts w:hint="eastAsia" w:hAnsi="宋体" w:cs="宋体"/>
          <w:color w:val="000000"/>
          <w:kern w:val="0"/>
          <w:sz w:val="24"/>
          <w:szCs w:val="24"/>
          <w:lang w:val="en-US" w:eastAsia="zh-CN" w:bidi="ar"/>
        </w:rPr>
        <w:t>。</w:t>
      </w:r>
    </w:p>
    <w:p>
      <w:pPr>
        <w:pStyle w:val="5"/>
        <w:numPr>
          <w:ilvl w:val="0"/>
          <w:numId w:val="0"/>
        </w:numPr>
        <w:ind w:leftChars="0"/>
        <w:outlineLvl w:val="3"/>
        <w:rPr>
          <w:rFonts w:hint="eastAsia" w:ascii="宋体" w:hAnsi="宋体" w:eastAsia="宋体" w:cs="宋体"/>
          <w:bCs w:val="0"/>
          <w:color w:val="000000"/>
          <w:sz w:val="24"/>
          <w:szCs w:val="24"/>
          <w:lang w:val="en-US" w:eastAsia="zh-CN"/>
        </w:rPr>
      </w:pPr>
      <w:bookmarkStart w:id="270" w:name="_Toc22744"/>
      <w:bookmarkStart w:id="271" w:name="_Toc30632"/>
      <w:r>
        <w:rPr>
          <w:rFonts w:hint="eastAsia" w:ascii="宋体" w:hAnsi="宋体" w:eastAsia="宋体" w:cs="宋体"/>
          <w:bCs w:val="0"/>
          <w:color w:val="000000"/>
          <w:sz w:val="24"/>
          <w:szCs w:val="24"/>
          <w:lang w:val="en-US" w:eastAsia="zh-CN"/>
        </w:rPr>
        <w:t xml:space="preserve">2.2.10 </w:t>
      </w:r>
      <w:bookmarkStart w:id="272" w:name="_Toc325034677"/>
      <w:bookmarkStart w:id="273" w:name="_Toc293513129"/>
      <w:bookmarkStart w:id="274" w:name="_Toc353389265"/>
      <w:bookmarkStart w:id="275" w:name="_Toc293073933"/>
      <w:bookmarkStart w:id="276" w:name="_Toc297053985"/>
      <w:bookmarkStart w:id="277" w:name="_Toc339364134"/>
      <w:bookmarkStart w:id="278" w:name="_Toc293512987"/>
      <w:bookmarkStart w:id="279" w:name="_Toc323200379"/>
      <w:bookmarkStart w:id="280" w:name="_Toc293500038"/>
      <w:bookmarkStart w:id="281" w:name="_Toc333913929"/>
      <w:bookmarkStart w:id="282" w:name="_Toc290970020"/>
      <w:bookmarkStart w:id="283" w:name="_Toc307921523"/>
      <w:bookmarkStart w:id="284" w:name="_Toc325464165"/>
      <w:bookmarkStart w:id="285" w:name="_Toc297059130"/>
      <w:bookmarkStart w:id="286" w:name="_Toc339371069"/>
      <w:r>
        <w:rPr>
          <w:rFonts w:hint="eastAsia" w:ascii="宋体" w:hAnsi="宋体" w:eastAsia="宋体" w:cs="宋体"/>
          <w:bCs w:val="0"/>
          <w:color w:val="000000"/>
          <w:sz w:val="24"/>
          <w:szCs w:val="24"/>
          <w:lang w:val="en-US" w:eastAsia="zh-CN"/>
        </w:rPr>
        <w:t>道路交通标志</w:t>
      </w:r>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r>
        <w:rPr>
          <w:rFonts w:hint="eastAsia" w:ascii="宋体" w:hAnsi="宋体" w:eastAsia="宋体" w:cs="宋体"/>
          <w:bCs w:val="0"/>
          <w:color w:val="000000"/>
          <w:sz w:val="24"/>
          <w:szCs w:val="24"/>
          <w:lang w:val="en-US" w:eastAsia="zh-CN"/>
        </w:rPr>
        <w:t>安装技术措施</w:t>
      </w:r>
      <w:bookmarkEnd w:id="270"/>
      <w:bookmarkEnd w:id="271"/>
    </w:p>
    <w:p>
      <w:pPr>
        <w:spacing w:line="360" w:lineRule="auto"/>
        <w:ind w:firstLine="480" w:firstLineChars="200"/>
        <w:rPr>
          <w:rFonts w:hint="eastAsia"/>
          <w:sz w:val="24"/>
          <w:szCs w:val="24"/>
        </w:rPr>
      </w:pPr>
      <w:r>
        <w:rPr>
          <w:rFonts w:hint="eastAsia"/>
          <w:sz w:val="24"/>
          <w:szCs w:val="24"/>
        </w:rPr>
        <w:t>道路交通技术监控设备提示标志选择交叉口每方向的系统前端设备附近的明显位置处进行设置，对于非渠化路口红灯亮时禁止右转，需设置“红灯亮时，禁止右转”标志牌的，应当根据现场情况在路口明显位置处设置，具体设置需要应当根据采购人要求。</w:t>
      </w:r>
    </w:p>
    <w:p>
      <w:pPr>
        <w:numPr>
          <w:ilvl w:val="0"/>
          <w:numId w:val="80"/>
        </w:numPr>
        <w:spacing w:line="360" w:lineRule="auto"/>
        <w:ind w:left="425" w:leftChars="0" w:hanging="425" w:firstLineChars="0"/>
        <w:rPr>
          <w:rFonts w:hint="eastAsia" w:hAnsi="宋体" w:cs="Arial"/>
          <w:color w:val="000000"/>
          <w:sz w:val="24"/>
          <w:lang w:val="en-US" w:eastAsia="zh-CN"/>
        </w:rPr>
      </w:pPr>
      <w:bookmarkStart w:id="287" w:name="_Toc293073934"/>
      <w:bookmarkStart w:id="288" w:name="_Toc325034678"/>
      <w:bookmarkStart w:id="289" w:name="_Toc323200380"/>
      <w:bookmarkStart w:id="290" w:name="_Toc293513130"/>
      <w:bookmarkStart w:id="291" w:name="_Toc297059131"/>
      <w:bookmarkStart w:id="292" w:name="_Toc293512988"/>
      <w:bookmarkStart w:id="293" w:name="_Toc297053986"/>
      <w:bookmarkStart w:id="294" w:name="_Toc290970021"/>
      <w:bookmarkStart w:id="295" w:name="_Toc307921524"/>
      <w:bookmarkStart w:id="296" w:name="_Toc293500039"/>
      <w:r>
        <w:rPr>
          <w:rFonts w:hint="eastAsia" w:hAnsi="宋体" w:cs="Arial"/>
          <w:color w:val="000000"/>
          <w:sz w:val="24"/>
          <w:lang w:val="en-US" w:eastAsia="zh-CN"/>
        </w:rPr>
        <w:t>材料要求</w:t>
      </w:r>
      <w:bookmarkEnd w:id="287"/>
      <w:bookmarkEnd w:id="288"/>
      <w:bookmarkEnd w:id="289"/>
      <w:bookmarkEnd w:id="290"/>
      <w:bookmarkEnd w:id="291"/>
      <w:bookmarkEnd w:id="292"/>
      <w:bookmarkEnd w:id="293"/>
      <w:bookmarkEnd w:id="294"/>
      <w:bookmarkEnd w:id="295"/>
      <w:bookmarkEnd w:id="296"/>
    </w:p>
    <w:p>
      <w:pPr>
        <w:spacing w:line="360" w:lineRule="auto"/>
        <w:ind w:firstLine="480" w:firstLineChars="200"/>
        <w:rPr>
          <w:rFonts w:hint="eastAsia"/>
          <w:sz w:val="24"/>
          <w:szCs w:val="24"/>
        </w:rPr>
      </w:pPr>
      <w:r>
        <w:rPr>
          <w:rFonts w:hint="eastAsia"/>
          <w:sz w:val="24"/>
          <w:szCs w:val="24"/>
        </w:rPr>
        <w:t>钢管整体表面应热浸镀锌处理(含底座法兰盘)，锌层厚度86微米以上。钢管镀锌以后不可以切割；底座法兰盘的厚度＞15mm；</w:t>
      </w:r>
    </w:p>
    <w:p>
      <w:pPr>
        <w:numPr>
          <w:ilvl w:val="0"/>
          <w:numId w:val="80"/>
        </w:numPr>
        <w:spacing w:line="360" w:lineRule="auto"/>
        <w:ind w:left="425" w:leftChars="0" w:hanging="425" w:firstLineChars="0"/>
        <w:rPr>
          <w:rFonts w:hint="eastAsia" w:hAnsi="宋体" w:cs="Arial"/>
          <w:color w:val="000000"/>
          <w:sz w:val="24"/>
          <w:lang w:val="en-US" w:eastAsia="zh-CN"/>
        </w:rPr>
      </w:pPr>
      <w:bookmarkStart w:id="297" w:name="_Toc325034679"/>
      <w:r>
        <w:rPr>
          <w:rFonts w:hint="eastAsia" w:hAnsi="宋体" w:cs="Arial"/>
          <w:color w:val="000000"/>
          <w:sz w:val="24"/>
          <w:lang w:val="en-US" w:eastAsia="zh-CN"/>
        </w:rPr>
        <w:t>标志牌制作要求</w:t>
      </w:r>
      <w:bookmarkEnd w:id="297"/>
    </w:p>
    <w:p>
      <w:pPr>
        <w:numPr>
          <w:ilvl w:val="0"/>
          <w:numId w:val="81"/>
        </w:numPr>
        <w:bidi w:val="0"/>
        <w:spacing w:line="360" w:lineRule="auto"/>
        <w:ind w:left="680" w:leftChars="0" w:hanging="340" w:firstLineChars="0"/>
        <w:rPr>
          <w:rFonts w:hint="eastAsia"/>
          <w:sz w:val="24"/>
          <w:szCs w:val="24"/>
        </w:rPr>
      </w:pPr>
      <w:r>
        <w:rPr>
          <w:rFonts w:hint="eastAsia"/>
          <w:sz w:val="24"/>
          <w:szCs w:val="24"/>
        </w:rPr>
        <w:t>标牌表面应无裂纹、无明显划痕、无损伤、无颜色不均和污染等现象，无明显皱纹、凹槽或弯形，每平方米的平整度公差应小于1.0mm；</w:t>
      </w:r>
    </w:p>
    <w:p>
      <w:pPr>
        <w:numPr>
          <w:ilvl w:val="0"/>
          <w:numId w:val="81"/>
        </w:numPr>
        <w:bidi w:val="0"/>
        <w:spacing w:line="360" w:lineRule="auto"/>
        <w:ind w:left="680" w:leftChars="0" w:hanging="340" w:firstLineChars="0"/>
        <w:rPr>
          <w:rFonts w:hint="eastAsia"/>
          <w:sz w:val="24"/>
          <w:szCs w:val="24"/>
        </w:rPr>
      </w:pPr>
      <w:r>
        <w:rPr>
          <w:rFonts w:hint="eastAsia"/>
          <w:sz w:val="24"/>
          <w:szCs w:val="24"/>
        </w:rPr>
        <w:t>标志安装后标志及杆件整体抗风等级应达到可抗40m/s风力，杆件疲劳寿命应大于30年。</w:t>
      </w:r>
    </w:p>
    <w:p>
      <w:pPr>
        <w:numPr>
          <w:ilvl w:val="0"/>
          <w:numId w:val="80"/>
        </w:numPr>
        <w:spacing w:line="360" w:lineRule="auto"/>
        <w:ind w:left="425" w:leftChars="0" w:hanging="425" w:firstLineChars="0"/>
        <w:rPr>
          <w:rFonts w:hint="eastAsia" w:hAnsi="宋体" w:cs="Arial"/>
          <w:color w:val="000000"/>
          <w:sz w:val="24"/>
          <w:lang w:val="en-US" w:eastAsia="zh-CN"/>
        </w:rPr>
      </w:pPr>
      <w:bookmarkStart w:id="298" w:name="_Toc307921526"/>
      <w:bookmarkStart w:id="299" w:name="_Toc293500041"/>
      <w:bookmarkStart w:id="300" w:name="_Toc325034680"/>
      <w:bookmarkStart w:id="301" w:name="_Toc297053988"/>
      <w:bookmarkStart w:id="302" w:name="_Toc323200382"/>
      <w:bookmarkStart w:id="303" w:name="_Toc293512990"/>
      <w:bookmarkStart w:id="304" w:name="_Toc297059133"/>
      <w:bookmarkStart w:id="305" w:name="_Toc290970023"/>
      <w:bookmarkStart w:id="306" w:name="_Toc293513132"/>
      <w:bookmarkStart w:id="307" w:name="_Toc293073936"/>
      <w:r>
        <w:rPr>
          <w:rFonts w:hint="eastAsia" w:hAnsi="宋体" w:cs="Arial"/>
          <w:color w:val="000000"/>
          <w:sz w:val="24"/>
          <w:lang w:val="en-US" w:eastAsia="zh-CN"/>
        </w:rPr>
        <w:t>标志杆件基础要求</w:t>
      </w:r>
      <w:bookmarkEnd w:id="298"/>
      <w:bookmarkEnd w:id="299"/>
      <w:bookmarkEnd w:id="300"/>
      <w:bookmarkEnd w:id="301"/>
      <w:bookmarkEnd w:id="302"/>
      <w:bookmarkEnd w:id="303"/>
      <w:bookmarkEnd w:id="304"/>
      <w:bookmarkEnd w:id="305"/>
      <w:bookmarkEnd w:id="306"/>
      <w:bookmarkEnd w:id="307"/>
    </w:p>
    <w:p>
      <w:pPr>
        <w:numPr>
          <w:ilvl w:val="0"/>
          <w:numId w:val="82"/>
        </w:numPr>
        <w:bidi w:val="0"/>
        <w:spacing w:line="360" w:lineRule="auto"/>
        <w:ind w:left="680" w:leftChars="0" w:hanging="340" w:firstLineChars="0"/>
        <w:rPr>
          <w:rFonts w:hint="eastAsia"/>
          <w:sz w:val="24"/>
          <w:szCs w:val="24"/>
        </w:rPr>
      </w:pPr>
      <w:r>
        <w:rPr>
          <w:rFonts w:hint="eastAsia"/>
          <w:sz w:val="24"/>
          <w:szCs w:val="24"/>
        </w:rPr>
        <w:t>基础的浇注、混凝土强度等级符合《凝土结构工程施工质量验收规范》GB50204的要求。</w:t>
      </w:r>
    </w:p>
    <w:p>
      <w:pPr>
        <w:numPr>
          <w:ilvl w:val="0"/>
          <w:numId w:val="82"/>
        </w:numPr>
        <w:bidi w:val="0"/>
        <w:spacing w:line="360" w:lineRule="auto"/>
        <w:ind w:left="680" w:leftChars="0" w:hanging="340" w:firstLineChars="0"/>
        <w:rPr>
          <w:rFonts w:hint="eastAsia"/>
          <w:sz w:val="24"/>
          <w:szCs w:val="24"/>
        </w:rPr>
      </w:pPr>
      <w:r>
        <w:rPr>
          <w:rFonts w:hint="eastAsia"/>
          <w:sz w:val="24"/>
          <w:szCs w:val="24"/>
        </w:rPr>
        <w:t>应采用地锚混凝土式基础。地脚螺栓上端为螺纹，下端为夹角小于60°的折弯，地脚螺栓焊接在下法兰盘上。混凝土的配比和最小水泥用量符合《普通混凝土配合比设计规程》（JGJ55）的规定。</w:t>
      </w:r>
    </w:p>
    <w:p>
      <w:pPr>
        <w:numPr>
          <w:ilvl w:val="0"/>
          <w:numId w:val="82"/>
        </w:numPr>
        <w:bidi w:val="0"/>
        <w:spacing w:line="360" w:lineRule="auto"/>
        <w:ind w:left="680" w:leftChars="0" w:hanging="340" w:firstLineChars="0"/>
        <w:rPr>
          <w:rFonts w:hint="eastAsia"/>
          <w:sz w:val="24"/>
          <w:szCs w:val="24"/>
        </w:rPr>
      </w:pPr>
      <w:r>
        <w:rPr>
          <w:rFonts w:hint="eastAsia"/>
          <w:sz w:val="24"/>
          <w:szCs w:val="24"/>
        </w:rPr>
        <w:t>杆件基础的混凝土浇注平整度应小于5mm/m。预埋件法兰低于周围地面50～80mm或高出周围地面100～300mm（适应铺设广场砖）以防止积水。</w:t>
      </w:r>
    </w:p>
    <w:p>
      <w:pPr>
        <w:numPr>
          <w:ilvl w:val="0"/>
          <w:numId w:val="82"/>
        </w:numPr>
        <w:bidi w:val="0"/>
        <w:spacing w:line="360" w:lineRule="auto"/>
        <w:ind w:left="680" w:leftChars="0" w:hanging="340" w:firstLineChars="0"/>
        <w:rPr>
          <w:rFonts w:hint="eastAsia"/>
          <w:sz w:val="24"/>
          <w:szCs w:val="24"/>
        </w:rPr>
      </w:pPr>
      <w:r>
        <w:rPr>
          <w:rFonts w:hint="eastAsia"/>
          <w:sz w:val="24"/>
          <w:szCs w:val="24"/>
        </w:rPr>
        <w:t>预埋件地脚螺栓法兰盘以上的螺纹在杆件安装前必须包扎好，以防损坏螺纹。</w:t>
      </w:r>
    </w:p>
    <w:p>
      <w:pPr>
        <w:numPr>
          <w:ilvl w:val="0"/>
          <w:numId w:val="82"/>
        </w:numPr>
        <w:bidi w:val="0"/>
        <w:spacing w:line="360" w:lineRule="auto"/>
        <w:ind w:left="680" w:leftChars="0" w:hanging="340" w:firstLineChars="0"/>
        <w:rPr>
          <w:rFonts w:hint="eastAsia"/>
          <w:sz w:val="24"/>
          <w:szCs w:val="24"/>
        </w:rPr>
      </w:pPr>
      <w:r>
        <w:rPr>
          <w:rFonts w:hint="eastAsia"/>
          <w:sz w:val="24"/>
          <w:szCs w:val="24"/>
        </w:rPr>
        <w:t>杆件安装后保证杆体垂直，倾斜度应不超过10mm。</w:t>
      </w:r>
    </w:p>
    <w:p>
      <w:pPr>
        <w:numPr>
          <w:ilvl w:val="0"/>
          <w:numId w:val="82"/>
        </w:numPr>
        <w:bidi w:val="0"/>
        <w:spacing w:line="360" w:lineRule="auto"/>
        <w:ind w:left="680" w:leftChars="0" w:hanging="340" w:firstLineChars="0"/>
        <w:rPr>
          <w:rFonts w:hint="eastAsia"/>
          <w:sz w:val="24"/>
          <w:szCs w:val="24"/>
        </w:rPr>
      </w:pPr>
      <w:r>
        <w:rPr>
          <w:rFonts w:hint="eastAsia"/>
          <w:sz w:val="24"/>
          <w:szCs w:val="24"/>
        </w:rPr>
        <w:t>基础位置应能确保基础及安装后标志和杆件不侵入道路建筑界限以内，不影响行人和车辆正常通行。</w:t>
      </w:r>
    </w:p>
    <w:p>
      <w:pPr>
        <w:numPr>
          <w:ilvl w:val="0"/>
          <w:numId w:val="82"/>
        </w:numPr>
        <w:bidi w:val="0"/>
        <w:spacing w:line="360" w:lineRule="auto"/>
        <w:ind w:left="680" w:leftChars="0" w:hanging="340" w:firstLineChars="0"/>
        <w:rPr>
          <w:rFonts w:hint="eastAsia"/>
          <w:sz w:val="24"/>
          <w:szCs w:val="24"/>
          <w:lang w:val="en-US" w:eastAsia="zh-CN"/>
        </w:rPr>
      </w:pPr>
      <w:r>
        <w:rPr>
          <w:rFonts w:hint="eastAsia"/>
          <w:sz w:val="24"/>
          <w:szCs w:val="24"/>
        </w:rPr>
        <w:t>杆件及杆件基础大样参见设计图册</w:t>
      </w:r>
    </w:p>
    <w:p>
      <w:pPr>
        <w:pStyle w:val="2"/>
        <w:numPr>
          <w:ilvl w:val="0"/>
          <w:numId w:val="2"/>
        </w:numPr>
        <w:jc w:val="center"/>
        <w:rPr>
          <w:rFonts w:hint="eastAsia" w:cs="Arial"/>
          <w:bCs w:val="0"/>
          <w:color w:val="000000"/>
          <w:sz w:val="32"/>
          <w:szCs w:val="32"/>
        </w:rPr>
      </w:pPr>
      <w:bookmarkStart w:id="308" w:name="_Toc27435"/>
      <w:bookmarkStart w:id="309" w:name="_Toc10786"/>
      <w:bookmarkStart w:id="310" w:name="_Toc20652"/>
      <w:bookmarkStart w:id="311" w:name="_Toc148"/>
      <w:bookmarkStart w:id="312" w:name="_Toc93674456"/>
      <w:bookmarkStart w:id="313" w:name="_Toc7325"/>
      <w:r>
        <w:rPr>
          <w:rFonts w:cs="Arial"/>
          <w:bCs w:val="0"/>
          <w:color w:val="000000"/>
          <w:sz w:val="32"/>
          <w:szCs w:val="32"/>
        </w:rPr>
        <w:t>施工目标</w:t>
      </w:r>
      <w:r>
        <w:rPr>
          <w:rFonts w:hint="eastAsia" w:cs="Arial"/>
          <w:bCs w:val="0"/>
          <w:color w:val="000000"/>
          <w:sz w:val="32"/>
          <w:szCs w:val="32"/>
        </w:rPr>
        <w:t>管理</w:t>
      </w:r>
      <w:r>
        <w:rPr>
          <w:rFonts w:cs="Arial"/>
          <w:bCs w:val="0"/>
          <w:color w:val="000000"/>
          <w:sz w:val="32"/>
          <w:szCs w:val="32"/>
        </w:rPr>
        <w:t>及保证措施</w:t>
      </w:r>
      <w:bookmarkEnd w:id="308"/>
      <w:bookmarkEnd w:id="309"/>
      <w:bookmarkEnd w:id="310"/>
      <w:bookmarkEnd w:id="311"/>
      <w:bookmarkEnd w:id="312"/>
      <w:bookmarkEnd w:id="313"/>
    </w:p>
    <w:p>
      <w:pPr>
        <w:pStyle w:val="3"/>
        <w:numPr>
          <w:ilvl w:val="1"/>
          <w:numId w:val="2"/>
        </w:numPr>
        <w:rPr>
          <w:rFonts w:hint="eastAsia" w:ascii="宋体" w:hAnsi="宋体" w:eastAsia="宋体"/>
          <w:sz w:val="30"/>
          <w:szCs w:val="30"/>
        </w:rPr>
      </w:pPr>
      <w:bookmarkStart w:id="314" w:name="_Toc29932"/>
      <w:bookmarkStart w:id="315" w:name="_Toc4327"/>
      <w:bookmarkStart w:id="316" w:name="_Toc31567"/>
      <w:bookmarkStart w:id="317" w:name="_Toc2022"/>
      <w:bookmarkStart w:id="318" w:name="_Toc14267"/>
      <w:bookmarkStart w:id="319" w:name="_Toc93674457"/>
      <w:r>
        <w:rPr>
          <w:rFonts w:ascii="宋体" w:hAnsi="宋体" w:eastAsia="宋体" w:cs="Arial"/>
          <w:bCs w:val="0"/>
          <w:color w:val="000000"/>
          <w:sz w:val="30"/>
          <w:szCs w:val="30"/>
        </w:rPr>
        <w:t>工期目标及施工进度保证措施</w:t>
      </w:r>
      <w:bookmarkEnd w:id="314"/>
      <w:bookmarkEnd w:id="315"/>
      <w:bookmarkEnd w:id="316"/>
      <w:bookmarkEnd w:id="317"/>
      <w:bookmarkEnd w:id="318"/>
      <w:bookmarkEnd w:id="319"/>
    </w:p>
    <w:p>
      <w:pPr>
        <w:pStyle w:val="4"/>
        <w:numPr>
          <w:ilvl w:val="1"/>
          <w:numId w:val="83"/>
        </w:numPr>
        <w:rPr>
          <w:rFonts w:hint="eastAsia" w:ascii="宋体" w:hAnsi="宋体"/>
          <w:sz w:val="28"/>
          <w:szCs w:val="28"/>
        </w:rPr>
      </w:pPr>
      <w:bookmarkStart w:id="320" w:name="_Toc3616"/>
      <w:bookmarkStart w:id="321" w:name="_Toc24"/>
      <w:bookmarkStart w:id="322" w:name="_Toc8665"/>
      <w:bookmarkStart w:id="323" w:name="_Toc12538"/>
      <w:bookmarkStart w:id="324" w:name="_Toc28715"/>
      <w:r>
        <w:rPr>
          <w:rFonts w:cs="Arial"/>
          <w:bCs w:val="0"/>
          <w:color w:val="000000"/>
          <w:sz w:val="28"/>
          <w:szCs w:val="28"/>
        </w:rPr>
        <w:t>工期目标</w:t>
      </w:r>
      <w:bookmarkEnd w:id="320"/>
      <w:bookmarkEnd w:id="321"/>
      <w:bookmarkEnd w:id="322"/>
      <w:bookmarkEnd w:id="323"/>
      <w:bookmarkEnd w:id="324"/>
    </w:p>
    <w:p>
      <w:pPr>
        <w:spacing w:line="360" w:lineRule="auto"/>
        <w:ind w:firstLine="480" w:firstLineChars="200"/>
        <w:rPr>
          <w:rFonts w:ascii="宋体" w:hAnsi="宋体" w:cs="Arial"/>
          <w:color w:val="000000"/>
          <w:sz w:val="24"/>
        </w:rPr>
      </w:pPr>
      <w:r>
        <w:rPr>
          <w:rFonts w:ascii="宋体" w:hAnsi="宋体" w:cs="Arial"/>
          <w:color w:val="000000"/>
          <w:sz w:val="24"/>
        </w:rPr>
        <w:t>在</w:t>
      </w:r>
      <w:r>
        <w:rPr>
          <w:rFonts w:hint="eastAsia" w:ascii="宋体" w:hAnsi="宋体" w:cs="Arial"/>
          <w:color w:val="000000"/>
          <w:sz w:val="24"/>
        </w:rPr>
        <w:t>总包方</w:t>
      </w:r>
      <w:r>
        <w:rPr>
          <w:rFonts w:ascii="宋体" w:hAnsi="宋体" w:cs="Arial"/>
          <w:color w:val="000000"/>
          <w:sz w:val="24"/>
        </w:rPr>
        <w:t>签发中标通知书后</w:t>
      </w:r>
      <w:r>
        <w:rPr>
          <w:rFonts w:hint="eastAsia" w:ascii="宋体" w:hAnsi="宋体" w:cs="Arial"/>
          <w:color w:val="000000"/>
          <w:sz w:val="24"/>
        </w:rPr>
        <w:t>5</w:t>
      </w:r>
      <w:r>
        <w:rPr>
          <w:rFonts w:ascii="宋体" w:hAnsi="宋体" w:cs="Arial"/>
          <w:color w:val="000000"/>
          <w:sz w:val="24"/>
        </w:rPr>
        <w:t>日内提供深化</w:t>
      </w:r>
      <w:r>
        <w:rPr>
          <w:rFonts w:hint="eastAsia" w:hAnsi="宋体" w:cs="Arial"/>
          <w:color w:val="000000"/>
          <w:sz w:val="24"/>
          <w:lang w:val="en-US" w:eastAsia="zh-CN"/>
        </w:rPr>
        <w:t>施工</w:t>
      </w:r>
      <w:r>
        <w:rPr>
          <w:rFonts w:ascii="宋体" w:hAnsi="宋体" w:cs="Arial"/>
          <w:color w:val="000000"/>
          <w:sz w:val="24"/>
        </w:rPr>
        <w:t>图纸,并于</w:t>
      </w:r>
      <w:r>
        <w:rPr>
          <w:rFonts w:hint="eastAsia" w:ascii="宋体" w:hAnsi="宋体" w:cs="Arial"/>
          <w:color w:val="000000"/>
          <w:sz w:val="24"/>
        </w:rPr>
        <w:t>12</w:t>
      </w:r>
      <w:r>
        <w:rPr>
          <w:rFonts w:hint="eastAsia" w:hAnsi="宋体" w:cs="Arial"/>
          <w:color w:val="000000"/>
          <w:sz w:val="24"/>
          <w:lang w:val="en-US" w:eastAsia="zh-CN"/>
        </w:rPr>
        <w:t>0</w:t>
      </w:r>
      <w:r>
        <w:rPr>
          <w:rFonts w:ascii="宋体" w:hAnsi="宋体" w:cs="Arial"/>
          <w:color w:val="000000"/>
          <w:sz w:val="24"/>
        </w:rPr>
        <w:t>天内</w:t>
      </w:r>
      <w:r>
        <w:rPr>
          <w:rFonts w:hint="eastAsia" w:hAnsi="宋体" w:cs="Arial"/>
          <w:color w:val="000000"/>
          <w:sz w:val="24"/>
          <w:lang w:val="en-US" w:eastAsia="zh-CN"/>
        </w:rPr>
        <w:t>保质保量</w:t>
      </w:r>
      <w:r>
        <w:rPr>
          <w:rFonts w:ascii="宋体" w:hAnsi="宋体" w:cs="Arial"/>
          <w:color w:val="000000"/>
          <w:sz w:val="24"/>
        </w:rPr>
        <w:t>完成</w:t>
      </w:r>
      <w:r>
        <w:rPr>
          <w:rFonts w:hint="eastAsia" w:ascii="宋体" w:hAnsi="宋体" w:cs="Arial"/>
          <w:color w:val="000000"/>
          <w:sz w:val="24"/>
        </w:rPr>
        <w:t>全部</w:t>
      </w:r>
      <w:r>
        <w:rPr>
          <w:rFonts w:hint="eastAsia" w:hAnsi="宋体" w:cs="Arial"/>
          <w:color w:val="000000"/>
          <w:sz w:val="24"/>
          <w:lang w:val="en-US" w:eastAsia="zh-CN"/>
        </w:rPr>
        <w:t>工程</w:t>
      </w:r>
      <w:r>
        <w:rPr>
          <w:rFonts w:ascii="宋体" w:hAnsi="宋体" w:cs="Arial"/>
          <w:color w:val="000000"/>
          <w:sz w:val="24"/>
        </w:rPr>
        <w:t>的安装、调试工作。</w:t>
      </w:r>
    </w:p>
    <w:p>
      <w:pPr>
        <w:spacing w:line="360" w:lineRule="auto"/>
        <w:ind w:firstLine="480" w:firstLineChars="200"/>
        <w:rPr>
          <w:rFonts w:ascii="宋体" w:hAnsi="宋体" w:cs="Arial"/>
          <w:color w:val="000000"/>
          <w:sz w:val="24"/>
        </w:rPr>
      </w:pPr>
      <w:r>
        <w:rPr>
          <w:rFonts w:hint="eastAsia" w:ascii="宋体" w:hAnsi="宋体" w:cs="Arial"/>
          <w:color w:val="000000"/>
          <w:sz w:val="24"/>
        </w:rPr>
        <w:t>施工项目进度控制，是项目施工中的重点控制之一。它是保证施工项目按期完成，合理安排资源供应、节约工程成本的重要措施。</w:t>
      </w:r>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施工项目进度控制是指在既定的工期内，编制出最优的施工进度计划，在执行该计划的施工中，经常检查施工实际进度情况，并将其与计划进度相比较，若出现偏差，便分析产生的原因和对工期的影响程度，找出必要的调整措施，修改原计划，不断地如此循环，直至工程竣工验收。施工项目进度控制的总目标是确保施工项目的既定目标工期的实现，或者在保证施工质量和不因此而增加施工实际成本的条件下，适当缩短施工工期。</w:t>
      </w:r>
    </w:p>
    <w:p>
      <w:pPr>
        <w:pStyle w:val="4"/>
        <w:numPr>
          <w:ilvl w:val="1"/>
          <w:numId w:val="83"/>
        </w:numPr>
        <w:rPr>
          <w:rFonts w:hint="eastAsia" w:ascii="宋体" w:hAnsi="宋体"/>
          <w:sz w:val="28"/>
          <w:szCs w:val="28"/>
        </w:rPr>
      </w:pPr>
      <w:bookmarkStart w:id="325" w:name="_Toc29313"/>
      <w:bookmarkStart w:id="326" w:name="_Toc23922"/>
      <w:bookmarkStart w:id="327" w:name="_Toc17088"/>
      <w:bookmarkStart w:id="328" w:name="_Toc18467"/>
      <w:bookmarkStart w:id="329" w:name="_Toc8134"/>
      <w:r>
        <w:rPr>
          <w:rFonts w:cs="Arial"/>
          <w:bCs w:val="0"/>
          <w:color w:val="000000"/>
          <w:sz w:val="28"/>
          <w:szCs w:val="28"/>
        </w:rPr>
        <w:t>施工进度</w:t>
      </w:r>
      <w:r>
        <w:rPr>
          <w:rFonts w:hint="eastAsia" w:cs="Arial"/>
          <w:bCs w:val="0"/>
          <w:color w:val="000000"/>
          <w:sz w:val="28"/>
          <w:szCs w:val="28"/>
        </w:rPr>
        <w:t>控制</w:t>
      </w:r>
      <w:r>
        <w:rPr>
          <w:rFonts w:cs="Arial"/>
          <w:bCs w:val="0"/>
          <w:color w:val="000000"/>
          <w:sz w:val="28"/>
          <w:szCs w:val="28"/>
        </w:rPr>
        <w:t>保证措施</w:t>
      </w:r>
      <w:bookmarkEnd w:id="325"/>
      <w:bookmarkEnd w:id="326"/>
      <w:bookmarkEnd w:id="327"/>
      <w:bookmarkEnd w:id="328"/>
      <w:bookmarkEnd w:id="329"/>
    </w:p>
    <w:p>
      <w:pPr>
        <w:spacing w:line="360" w:lineRule="auto"/>
        <w:ind w:firstLine="480" w:firstLineChars="200"/>
        <w:rPr>
          <w:rFonts w:ascii="宋体" w:hAnsi="宋体" w:cs="Arial"/>
          <w:color w:val="000000"/>
          <w:sz w:val="24"/>
        </w:rPr>
      </w:pPr>
      <w:r>
        <w:rPr>
          <w:rFonts w:ascii="宋体" w:hAnsi="宋体" w:cs="Arial"/>
          <w:color w:val="000000"/>
          <w:sz w:val="24"/>
        </w:rPr>
        <w:t>在</w:t>
      </w:r>
      <w:r>
        <w:rPr>
          <w:rFonts w:hint="eastAsia" w:ascii="宋体" w:hAnsi="宋体" w:cs="Arial"/>
          <w:color w:val="000000"/>
          <w:sz w:val="24"/>
        </w:rPr>
        <w:t>周至县公安局交警大队道路交通安全隐患治理</w:t>
      </w:r>
      <w:r>
        <w:rPr>
          <w:rFonts w:ascii="宋体" w:hAnsi="宋体" w:cs="Arial"/>
          <w:color w:val="000000"/>
          <w:sz w:val="24"/>
        </w:rPr>
        <w:t>工程中</w:t>
      </w:r>
      <w:r>
        <w:rPr>
          <w:rFonts w:hint="eastAsia" w:hAnsi="宋体" w:cs="Arial"/>
          <w:color w:val="000000"/>
          <w:sz w:val="24"/>
          <w:lang w:val="en-US" w:eastAsia="zh-CN"/>
        </w:rPr>
        <w:t>由于工程</w:t>
      </w:r>
      <w:r>
        <w:rPr>
          <w:rFonts w:ascii="宋体" w:hAnsi="宋体" w:cs="Arial"/>
          <w:color w:val="000000"/>
          <w:sz w:val="24"/>
        </w:rPr>
        <w:t>量大</w:t>
      </w:r>
      <w:r>
        <w:rPr>
          <w:rFonts w:hint="eastAsia" w:hAnsi="宋体" w:cs="Arial"/>
          <w:color w:val="000000"/>
          <w:sz w:val="24"/>
          <w:lang w:eastAsia="zh-CN"/>
        </w:rPr>
        <w:t>、</w:t>
      </w:r>
      <w:r>
        <w:rPr>
          <w:rFonts w:ascii="宋体" w:hAnsi="宋体" w:cs="Arial"/>
          <w:color w:val="000000"/>
          <w:sz w:val="24"/>
        </w:rPr>
        <w:t>工期紧</w:t>
      </w:r>
      <w:r>
        <w:rPr>
          <w:rFonts w:hint="eastAsia" w:hAnsi="宋体" w:cs="Arial"/>
          <w:color w:val="000000"/>
          <w:sz w:val="24"/>
          <w:lang w:eastAsia="zh-CN"/>
        </w:rPr>
        <w:t>、</w:t>
      </w:r>
      <w:r>
        <w:rPr>
          <w:rFonts w:hint="eastAsia" w:hAnsi="宋体" w:cs="Arial"/>
          <w:color w:val="000000"/>
          <w:sz w:val="24"/>
          <w:lang w:val="en-US" w:eastAsia="zh-CN"/>
        </w:rPr>
        <w:t>任务重</w:t>
      </w:r>
      <w:r>
        <w:rPr>
          <w:rFonts w:ascii="宋体" w:hAnsi="宋体" w:cs="Arial"/>
          <w:color w:val="000000"/>
          <w:sz w:val="24"/>
        </w:rPr>
        <w:t>同时涉及到</w:t>
      </w:r>
      <w:r>
        <w:rPr>
          <w:rFonts w:hint="eastAsia" w:hAnsi="宋体" w:cs="Arial"/>
          <w:color w:val="000000"/>
          <w:sz w:val="24"/>
          <w:lang w:val="en-US" w:eastAsia="zh-CN"/>
        </w:rPr>
        <w:t>电力、市政、通信等</w:t>
      </w:r>
      <w:r>
        <w:rPr>
          <w:rFonts w:ascii="宋体" w:hAnsi="宋体" w:cs="Arial"/>
          <w:color w:val="000000"/>
          <w:sz w:val="24"/>
        </w:rPr>
        <w:t>各</w:t>
      </w:r>
      <w:r>
        <w:rPr>
          <w:rFonts w:hint="eastAsia" w:hAnsi="宋体" w:cs="Arial"/>
          <w:color w:val="000000"/>
          <w:sz w:val="24"/>
          <w:lang w:val="en-US" w:eastAsia="zh-CN"/>
        </w:rPr>
        <w:t>部门</w:t>
      </w:r>
      <w:r>
        <w:rPr>
          <w:rFonts w:ascii="宋体" w:hAnsi="宋体" w:cs="Arial"/>
          <w:color w:val="000000"/>
          <w:sz w:val="24"/>
        </w:rPr>
        <w:t>的配合，要保证工程能在规定工期内按时完工，对工程进度的管理和控制就非常重要。</w:t>
      </w:r>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施工项目进度控制方法主要是规划、控制和协调。规划是指确定施工项目总进度控制目标和分进度控制目标，并编制其进度计划。控制是指在施工项目实施的全过程中，进行施工实际进度与施工计划进度的比较，出现偏差及时采取措施调整。协调是指协调与施工进度有关的单位、部门和工作队组之间的进度关系。</w:t>
      </w:r>
    </w:p>
    <w:p>
      <w:pPr>
        <w:pStyle w:val="3"/>
        <w:rPr>
          <w:rFonts w:hint="eastAsia" w:ascii="宋体" w:hAnsi="宋体" w:cs="Arial"/>
          <w:color w:val="000000"/>
          <w:sz w:val="24"/>
          <w:lang w:val="en-US" w:eastAsia="zh-CN"/>
        </w:rPr>
      </w:pPr>
      <w:bookmarkStart w:id="330" w:name="_Toc11811"/>
      <w:r>
        <w:rPr>
          <w:rFonts w:hint="eastAsia" w:ascii="宋体" w:hAnsi="宋体" w:eastAsia="宋体" w:cs="宋体"/>
          <w:bCs w:val="0"/>
          <w:color w:val="000000"/>
          <w:sz w:val="24"/>
          <w:szCs w:val="24"/>
          <w:lang w:val="en-US" w:eastAsia="zh-CN"/>
        </w:rPr>
        <w:t>1.2.1 施工进度控制的宏观保证措施</w:t>
      </w:r>
      <w:bookmarkEnd w:id="330"/>
    </w:p>
    <w:p>
      <w:pPr>
        <w:pStyle w:val="12"/>
        <w:spacing w:line="360" w:lineRule="auto"/>
        <w:rPr>
          <w:rFonts w:ascii="宋体" w:hAnsi="宋体" w:cs="Arial"/>
          <w:sz w:val="24"/>
        </w:rPr>
      </w:pPr>
      <w:r>
        <w:rPr>
          <w:rFonts w:ascii="宋体" w:hAnsi="宋体" w:cs="Arial"/>
          <w:sz w:val="24"/>
        </w:rPr>
        <w:t>我公司在工程的进度控制管理中，将紧紧围绕“规划、控制、沟通、协调、管理组织、安排”六大主题进行工作。</w:t>
      </w:r>
    </w:p>
    <w:p>
      <w:pPr>
        <w:numPr>
          <w:ilvl w:val="0"/>
          <w:numId w:val="84"/>
        </w:numPr>
        <w:tabs>
          <w:tab w:val="left" w:pos="945"/>
        </w:tabs>
        <w:spacing w:line="360" w:lineRule="auto"/>
        <w:ind w:left="1270" w:leftChars="250" w:hanging="420" w:hangingChars="175"/>
        <w:rPr>
          <w:rFonts w:ascii="宋体" w:hAnsi="宋体" w:cs="Arial"/>
          <w:color w:val="000000"/>
          <w:sz w:val="24"/>
        </w:rPr>
      </w:pPr>
      <w:r>
        <w:rPr>
          <w:rFonts w:ascii="宋体" w:hAnsi="宋体" w:cs="Arial"/>
          <w:color w:val="000000"/>
          <w:sz w:val="24"/>
        </w:rPr>
        <w:t>确定施工项目总进度控制目标和分进度控制目标，编制工程施工进度计划表。</w:t>
      </w:r>
    </w:p>
    <w:p>
      <w:pPr>
        <w:numPr>
          <w:ilvl w:val="0"/>
          <w:numId w:val="84"/>
        </w:numPr>
        <w:tabs>
          <w:tab w:val="left" w:pos="945"/>
        </w:tabs>
        <w:spacing w:line="360" w:lineRule="auto"/>
        <w:ind w:left="1270" w:leftChars="250" w:hanging="420" w:hangingChars="175"/>
        <w:rPr>
          <w:rFonts w:ascii="宋体" w:hAnsi="宋体" w:cs="Arial"/>
          <w:color w:val="000000"/>
          <w:sz w:val="24"/>
        </w:rPr>
      </w:pPr>
      <w:r>
        <w:rPr>
          <w:rFonts w:ascii="宋体" w:hAnsi="宋体" w:cs="Arial"/>
          <w:color w:val="000000"/>
          <w:sz w:val="24"/>
        </w:rPr>
        <w:t>在工程施工进场前，我公司提前作好各种准备工作，包括：深化设计、深化设计施工图、工程进度控制计划、材料控制计划、质量安全控制计划等管理文件，在现场施工中严格按此管理、控制和安排工作。</w:t>
      </w:r>
    </w:p>
    <w:p>
      <w:pPr>
        <w:numPr>
          <w:ilvl w:val="0"/>
          <w:numId w:val="84"/>
        </w:numPr>
        <w:tabs>
          <w:tab w:val="left" w:pos="945"/>
        </w:tabs>
        <w:spacing w:line="360" w:lineRule="auto"/>
        <w:ind w:left="1270" w:leftChars="250" w:hanging="420" w:hangingChars="175"/>
        <w:rPr>
          <w:rFonts w:ascii="宋体" w:hAnsi="宋体" w:cs="Arial"/>
          <w:color w:val="000000"/>
          <w:sz w:val="24"/>
        </w:rPr>
      </w:pPr>
      <w:r>
        <w:rPr>
          <w:rFonts w:ascii="宋体" w:hAnsi="宋体" w:cs="Arial"/>
          <w:color w:val="000000"/>
          <w:sz w:val="24"/>
        </w:rPr>
        <w:t>与甲方、监理公司、</w:t>
      </w:r>
      <w:r>
        <w:rPr>
          <w:rFonts w:hint="eastAsia" w:hAnsi="宋体" w:cs="Arial"/>
          <w:color w:val="000000"/>
          <w:sz w:val="24"/>
          <w:lang w:val="en-US" w:eastAsia="zh-CN"/>
        </w:rPr>
        <w:t>外协</w:t>
      </w:r>
      <w:r>
        <w:rPr>
          <w:rFonts w:ascii="宋体" w:hAnsi="宋体" w:cs="Arial"/>
          <w:color w:val="000000"/>
          <w:sz w:val="24"/>
        </w:rPr>
        <w:t>等单位就工程施工管理实施紧密联系、沟通、协调，共同促进工程施工的进行。</w:t>
      </w:r>
    </w:p>
    <w:p>
      <w:pPr>
        <w:pStyle w:val="3"/>
        <w:rPr>
          <w:rFonts w:hint="eastAsia" w:ascii="宋体" w:hAnsi="宋体" w:cs="Arial"/>
          <w:color w:val="000000"/>
          <w:sz w:val="24"/>
          <w:lang w:val="en-US" w:eastAsia="zh-CN"/>
        </w:rPr>
      </w:pPr>
      <w:bookmarkStart w:id="331" w:name="_Toc23374"/>
      <w:r>
        <w:rPr>
          <w:rFonts w:hint="eastAsia" w:ascii="宋体" w:hAnsi="宋体" w:eastAsia="宋体" w:cs="宋体"/>
          <w:bCs w:val="0"/>
          <w:color w:val="000000"/>
          <w:sz w:val="24"/>
          <w:szCs w:val="24"/>
          <w:lang w:val="en-US" w:eastAsia="zh-CN"/>
        </w:rPr>
        <w:t>1.2.2 施工进度控制的具体保证措施</w:t>
      </w:r>
      <w:bookmarkEnd w:id="331"/>
    </w:p>
    <w:p>
      <w:pPr>
        <w:pStyle w:val="12"/>
        <w:spacing w:line="360" w:lineRule="auto"/>
        <w:ind w:firstLine="480" w:firstLineChars="200"/>
        <w:rPr>
          <w:rFonts w:ascii="宋体" w:hAnsi="宋体" w:cs="Arial"/>
          <w:sz w:val="24"/>
        </w:rPr>
      </w:pPr>
      <w:r>
        <w:rPr>
          <w:rFonts w:ascii="宋体" w:hAnsi="宋体" w:cs="Arial"/>
          <w:sz w:val="24"/>
        </w:rPr>
        <w:t>我公司将从人员、材料、机具、技术、环境等五大方面做好充分的准备，以确保工程进度具体、落实、可靠。</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从一开始就建立完善的项目经理部，明确项目班子的组成，明确各管理技术人员在不同的工作岗位所负担的不同职责。并结合工地实际情况建立相关的管理机制，使每个岗位的每个人员都对自己应该做什么，应达到什么样的标准都十分清楚。</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项目经理部根据施工进度制订人力资源计划，根据各施工过程，有计划地安排施工人员进场，随着工程达到不同的阶段投入相应的人数以保证施工按照进度计划进行。</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作为工程建设方，项目经理部要作好“三控、二管理、一协调”工作制，即从进度控制、质量控制、费用控制、合同管理、信息管理和组织协调。</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我公司有着丰富的人力资源，有多支弱电项目施工队，具有丰富的施工经验、充足的人力保证。我公司可根据实际施工情况随时调入大量熟练的施工人员，不存在由于人员问题而导致工期的延误。</w:t>
      </w:r>
    </w:p>
    <w:p>
      <w:pPr>
        <w:pStyle w:val="12"/>
        <w:numPr>
          <w:ilvl w:val="0"/>
          <w:numId w:val="85"/>
        </w:numPr>
        <w:tabs>
          <w:tab w:val="left" w:pos="945"/>
        </w:tabs>
        <w:spacing w:after="0" w:line="360" w:lineRule="auto"/>
        <w:ind w:left="1267" w:leftChars="250" w:hanging="417" w:hangingChars="174"/>
        <w:rPr>
          <w:rFonts w:hint="eastAsia" w:ascii="宋体" w:hAnsi="宋体" w:cs="Arial"/>
          <w:sz w:val="24"/>
        </w:rPr>
      </w:pPr>
      <w:r>
        <w:rPr>
          <w:rFonts w:ascii="宋体" w:hAnsi="宋体" w:cs="Arial"/>
          <w:sz w:val="24"/>
        </w:rPr>
        <w:t>按照总进度计划制订合理切实的供货计划，确保设备、材料按时进场，配合施工进度的调整，及时做好设备材料的供给。</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hint="eastAsia" w:ascii="宋体" w:hAnsi="宋体"/>
          <w:color w:val="000000"/>
          <w:sz w:val="24"/>
        </w:rPr>
        <w:t>根据工程具体情况及施工进行计划，以及各分部工程的具体施工方法安排好施工机具、辅助工具进场划分，分期分批进场，绝对满足施工需求。</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确定每周一次的报告期，跟踪和反馈实际进度与进度计划的差异，并根据差异及时对施工进度和进度计划进行调整。</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项目经理部将结合图纸及施工环境，作好对工地施工人员的工程任务技术交底，交清施工图纸、技术资料、工艺流程、技术关键部分、各专业（或系统）之间的接口、施工顺序、进度要求、质量安全措施等。使施工能流畅地进行。</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ascii="宋体" w:hAnsi="宋体" w:cs="Arial"/>
          <w:sz w:val="24"/>
        </w:rPr>
        <w:t>各专业根据施工图纸及施工环境等编制施工方案及系统调试方案，针对工地提出需要克服的质量通病，有目的、有重点的实施，作好事先的预防控制工作。</w:t>
      </w:r>
    </w:p>
    <w:p>
      <w:pPr>
        <w:pStyle w:val="12"/>
        <w:numPr>
          <w:ilvl w:val="0"/>
          <w:numId w:val="85"/>
        </w:numPr>
        <w:tabs>
          <w:tab w:val="left" w:pos="945"/>
        </w:tabs>
        <w:spacing w:after="0" w:line="360" w:lineRule="auto"/>
        <w:ind w:left="1267" w:leftChars="250" w:hanging="417" w:hangingChars="174"/>
        <w:rPr>
          <w:rFonts w:hint="eastAsia" w:ascii="宋体" w:hAnsi="宋体" w:cs="Arial"/>
          <w:sz w:val="24"/>
        </w:rPr>
      </w:pPr>
      <w:r>
        <w:rPr>
          <w:rFonts w:ascii="宋体" w:hAnsi="宋体" w:cs="Arial"/>
          <w:sz w:val="24"/>
        </w:rPr>
        <w:t>建立进度计划考核制度，进度计划考核是进度计划控制的关键步骤，通过在每个报告期对实际进度与计划进度进行比较，对项目进度计划进行考核，确保工程按计划进行。</w:t>
      </w:r>
    </w:p>
    <w:p>
      <w:pPr>
        <w:pStyle w:val="12"/>
        <w:numPr>
          <w:ilvl w:val="0"/>
          <w:numId w:val="85"/>
        </w:numPr>
        <w:tabs>
          <w:tab w:val="left" w:pos="945"/>
        </w:tabs>
        <w:spacing w:after="0" w:line="360" w:lineRule="auto"/>
        <w:ind w:left="1267" w:leftChars="250" w:hanging="417" w:hangingChars="174"/>
        <w:rPr>
          <w:rFonts w:ascii="宋体" w:hAnsi="宋体" w:cs="Arial"/>
          <w:sz w:val="24"/>
        </w:rPr>
      </w:pPr>
      <w:r>
        <w:rPr>
          <w:rFonts w:hint="eastAsia" w:ascii="宋体" w:hAnsi="宋体"/>
          <w:color w:val="000000"/>
          <w:sz w:val="24"/>
        </w:rPr>
        <w:t>进场人员要精兵强将，各工种要搭配好，必要时分成多个班组轮流作业，节假日不休息，适当时给予一定的奖励，确保工期。</w:t>
      </w:r>
    </w:p>
    <w:p>
      <w:pPr>
        <w:pStyle w:val="12"/>
        <w:numPr>
          <w:ilvl w:val="0"/>
          <w:numId w:val="85"/>
        </w:numPr>
        <w:tabs>
          <w:tab w:val="left" w:pos="945"/>
        </w:tabs>
        <w:spacing w:after="0" w:line="360" w:lineRule="auto"/>
        <w:ind w:left="1267" w:leftChars="250" w:hanging="417" w:hangingChars="174"/>
        <w:rPr>
          <w:rFonts w:hint="eastAsia" w:ascii="宋体" w:hAnsi="宋体" w:cs="Arial"/>
          <w:sz w:val="24"/>
        </w:rPr>
      </w:pPr>
      <w:r>
        <w:rPr>
          <w:rFonts w:ascii="宋体" w:hAnsi="宋体" w:cs="Arial"/>
          <w:sz w:val="24"/>
        </w:rPr>
        <w:t>在施工过程中及时作好相关资料，同时作好过程资料管理工作。</w:t>
      </w:r>
    </w:p>
    <w:p>
      <w:pPr>
        <w:pStyle w:val="12"/>
        <w:numPr>
          <w:ilvl w:val="0"/>
          <w:numId w:val="85"/>
        </w:numPr>
        <w:tabs>
          <w:tab w:val="left" w:pos="945"/>
        </w:tabs>
        <w:spacing w:after="0" w:line="360" w:lineRule="auto"/>
        <w:ind w:left="1267" w:leftChars="250" w:hanging="417" w:hangingChars="174"/>
        <w:rPr>
          <w:rFonts w:hint="eastAsia" w:ascii="宋体" w:hAnsi="宋体" w:cs="Arial"/>
          <w:sz w:val="24"/>
        </w:rPr>
      </w:pPr>
      <w:r>
        <w:rPr>
          <w:rFonts w:hint="eastAsia" w:ascii="宋体" w:hAnsi="宋体"/>
          <w:color w:val="000000"/>
          <w:sz w:val="24"/>
        </w:rPr>
        <w:t>如甲方或总包方有提前竣工的要求，我方无条件的加大施工力度，以满足业主需要。</w:t>
      </w:r>
    </w:p>
    <w:p>
      <w:pPr>
        <w:pStyle w:val="3"/>
        <w:rPr>
          <w:rFonts w:hint="eastAsia" w:ascii="宋体" w:hAnsi="宋体" w:cs="Arial"/>
          <w:color w:val="000000"/>
          <w:sz w:val="24"/>
          <w:lang w:val="en-US" w:eastAsia="zh-CN"/>
        </w:rPr>
      </w:pPr>
      <w:bookmarkStart w:id="332" w:name="_Toc14582"/>
      <w:r>
        <w:rPr>
          <w:rFonts w:hint="eastAsia" w:ascii="宋体" w:hAnsi="宋体" w:eastAsia="宋体" w:cs="宋体"/>
          <w:bCs w:val="0"/>
          <w:color w:val="000000"/>
          <w:sz w:val="24"/>
          <w:szCs w:val="24"/>
          <w:lang w:val="en-US" w:eastAsia="zh-CN"/>
        </w:rPr>
        <w:t>1.2.3 施工进度控制的主要保证措施</w:t>
      </w:r>
      <w:bookmarkEnd w:id="332"/>
    </w:p>
    <w:p>
      <w:pPr>
        <w:spacing w:line="360" w:lineRule="auto"/>
        <w:ind w:firstLine="560"/>
        <w:rPr>
          <w:rFonts w:hint="eastAsia" w:ascii="宋体" w:hAnsi="宋体" w:eastAsia="宋体" w:cs="宋体"/>
          <w:sz w:val="24"/>
          <w:szCs w:val="24"/>
        </w:rPr>
      </w:pPr>
      <w:r>
        <w:rPr>
          <w:rFonts w:hint="eastAsia" w:ascii="宋体" w:hAnsi="宋体" w:eastAsia="宋体" w:cs="宋体"/>
          <w:sz w:val="24"/>
          <w:szCs w:val="24"/>
        </w:rPr>
        <w:t>工期保障是成功建设工程项目的关键。施工项目进度控制采取的主要措施有组织措施、技术措施、合同措施、经济措施和信息管理措施等。</w:t>
      </w:r>
    </w:p>
    <w:p>
      <w:pPr>
        <w:spacing w:line="360" w:lineRule="auto"/>
        <w:ind w:firstLine="560"/>
        <w:rPr>
          <w:rFonts w:hint="eastAsia" w:ascii="宋体" w:hAnsi="宋体" w:eastAsia="宋体" w:cs="宋体"/>
          <w:sz w:val="24"/>
          <w:szCs w:val="24"/>
        </w:rPr>
      </w:pPr>
      <w:r>
        <w:rPr>
          <w:rFonts w:hint="eastAsia" w:ascii="宋体" w:hAnsi="宋体" w:eastAsia="宋体" w:cs="宋体"/>
          <w:sz w:val="24"/>
          <w:szCs w:val="24"/>
        </w:rPr>
        <w:t>组织措施主要是指落实各层次的进度控制的人员，具体任务和工作员任；建立进度控制的组织系统；按着施工项目的结构、进展的阶段或合同结构等进行项目分解，确定其进度目标，建立控制目标体系；确定进度控制工作制度，如检查时间、方法、协调会议时间、参加人等；对影响进度的因素分析和预测。技术措施主要是采取加快施工进度的技术方法。合同措施是指对分包单位签订施工合同的合同工期与有关进度计划目标相协调。经济措施是指实现进度计划的资金保证措施。信息管理措施是指不断地收集施工实际进度的有关资料进行整理统计与计划进度比较，定期地向建设单位提供比较报告。</w:t>
      </w:r>
    </w:p>
    <w:p>
      <w:pPr>
        <w:pStyle w:val="49"/>
        <w:widowControl/>
        <w:spacing w:after="0" w:afterLines="0" w:line="360" w:lineRule="auto"/>
        <w:ind w:firstLine="560"/>
        <w:rPr>
          <w:rFonts w:hint="eastAsia" w:ascii="宋体" w:hAnsi="宋体" w:eastAsia="宋体" w:cs="宋体"/>
          <w:sz w:val="24"/>
          <w:szCs w:val="24"/>
        </w:rPr>
      </w:pPr>
      <w:r>
        <w:rPr>
          <w:rFonts w:hint="eastAsia" w:ascii="宋体" w:hAnsi="宋体" w:eastAsia="宋体" w:cs="宋体"/>
          <w:sz w:val="24"/>
          <w:szCs w:val="24"/>
        </w:rPr>
        <w:t>施工项目进度控制主要措施如下：</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编制工作计划。为了确保工期，应编制确定设计准备工作计划、设计进度计划、阶段计划和各专业计划。</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根据合同工期目标，编制确定前期工作、总体施工进度计划、阶段施工进度计划。</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编制滚动式施工计划和施工方案，做到计划在方案中实施，方案服从于计划。</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编制季度计划、月计划、周计划及日计划，配备具体的施工任务书，作好进度记录和掌握施工实际进度情况，加强管理工作，把握好施工进度情况。</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实施进度控制，由专人负责计划的实施和监督计划的按期完成，灵活掌握，灵活调整。</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实施责任到人制度，将责任落实到人，使责任人目标明确，做到各负其责，层层落实，环环相扣。</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制定技术保证措施，定期学习和定期考核，保持有高水准施工技术力量。</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制定安全技术保证措施，设专职安全负责人，以保证工程的按期完成。</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实施设计现场跟进措施，要求设计完善、设计改进、设计变更、设计增补一步到位，使之不影响施工进度计划。</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制定严密的原材料采购供应措施，使之不会影响施工进度计划。</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制定严密的人员增加和加班制度，使进度计划有把握地得到实施。</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加强现场质检工作，进行质量跟踪和质量方面的技术督导，防止返工和工序之间的互相影响，明确奖罚措施。</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协调各施工单位、各专业、各工序间的配合，合理科学地执行计划安排。</w:t>
      </w:r>
    </w:p>
    <w:p>
      <w:pPr>
        <w:pStyle w:val="49"/>
        <w:widowControl/>
        <w:numPr>
          <w:ilvl w:val="0"/>
          <w:numId w:val="86"/>
        </w:numPr>
        <w:spacing w:after="0" w:afterLines="0"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接受业主及监理公司的进度监控。</w:t>
      </w:r>
    </w:p>
    <w:p>
      <w:pPr>
        <w:pStyle w:val="12"/>
        <w:widowControl w:val="0"/>
        <w:numPr>
          <w:ilvl w:val="0"/>
          <w:numId w:val="0"/>
        </w:numPr>
        <w:tabs>
          <w:tab w:val="left" w:pos="945"/>
        </w:tabs>
        <w:spacing w:after="0" w:line="360" w:lineRule="auto"/>
        <w:jc w:val="both"/>
        <w:rPr>
          <w:rFonts w:hint="eastAsia" w:ascii="宋体" w:hAnsi="宋体"/>
          <w:color w:val="000000"/>
          <w:sz w:val="24"/>
        </w:rPr>
      </w:pPr>
    </w:p>
    <w:p>
      <w:pPr>
        <w:pStyle w:val="3"/>
        <w:numPr>
          <w:ilvl w:val="1"/>
          <w:numId w:val="2"/>
        </w:numPr>
        <w:rPr>
          <w:rFonts w:hint="eastAsia" w:ascii="宋体" w:hAnsi="宋体" w:eastAsia="宋体"/>
          <w:sz w:val="30"/>
          <w:szCs w:val="30"/>
        </w:rPr>
      </w:pPr>
      <w:bookmarkStart w:id="333" w:name="_Toc7146"/>
      <w:bookmarkStart w:id="334" w:name="_Toc29578"/>
      <w:bookmarkStart w:id="335" w:name="_Toc26295"/>
      <w:bookmarkStart w:id="336" w:name="_Toc93674458"/>
      <w:bookmarkStart w:id="337" w:name="_Toc15195"/>
      <w:bookmarkStart w:id="338" w:name="_Toc4584"/>
      <w:r>
        <w:rPr>
          <w:rFonts w:ascii="宋体" w:hAnsi="宋体" w:eastAsia="宋体" w:cs="Arial"/>
          <w:bCs w:val="0"/>
          <w:color w:val="000000"/>
          <w:sz w:val="30"/>
          <w:szCs w:val="30"/>
        </w:rPr>
        <w:t>质量目标及保证措施</w:t>
      </w:r>
      <w:bookmarkEnd w:id="333"/>
      <w:bookmarkEnd w:id="334"/>
      <w:bookmarkEnd w:id="335"/>
      <w:bookmarkEnd w:id="336"/>
      <w:bookmarkEnd w:id="337"/>
      <w:bookmarkEnd w:id="338"/>
    </w:p>
    <w:p>
      <w:pPr>
        <w:pStyle w:val="4"/>
        <w:numPr>
          <w:ilvl w:val="1"/>
          <w:numId w:val="87"/>
        </w:numPr>
        <w:rPr>
          <w:rFonts w:hint="eastAsia" w:ascii="宋体" w:hAnsi="宋体"/>
          <w:sz w:val="28"/>
          <w:szCs w:val="28"/>
        </w:rPr>
      </w:pPr>
      <w:bookmarkStart w:id="339" w:name="_Toc32522"/>
      <w:bookmarkStart w:id="340" w:name="_Toc26346"/>
      <w:bookmarkStart w:id="341" w:name="_Toc29329"/>
      <w:bookmarkStart w:id="342" w:name="_Toc2183"/>
      <w:bookmarkStart w:id="343" w:name="_Toc21746"/>
      <w:r>
        <w:rPr>
          <w:rFonts w:hint="eastAsia" w:cs="Arial"/>
          <w:bCs w:val="0"/>
          <w:color w:val="000000"/>
          <w:sz w:val="28"/>
          <w:szCs w:val="28"/>
        </w:rPr>
        <w:t>质量</w:t>
      </w:r>
      <w:r>
        <w:rPr>
          <w:rFonts w:cs="Arial"/>
          <w:bCs w:val="0"/>
          <w:color w:val="000000"/>
          <w:sz w:val="28"/>
          <w:szCs w:val="28"/>
        </w:rPr>
        <w:t>目标</w:t>
      </w:r>
      <w:bookmarkEnd w:id="339"/>
      <w:bookmarkEnd w:id="340"/>
      <w:bookmarkEnd w:id="341"/>
      <w:bookmarkEnd w:id="342"/>
      <w:bookmarkEnd w:id="343"/>
    </w:p>
    <w:p>
      <w:pPr>
        <w:spacing w:line="360" w:lineRule="auto"/>
        <w:ind w:firstLine="480"/>
        <w:rPr>
          <w:rFonts w:ascii="宋体" w:hAnsi="宋体" w:cs="Arial"/>
          <w:color w:val="000000"/>
          <w:sz w:val="24"/>
        </w:rPr>
      </w:pPr>
      <w:r>
        <w:rPr>
          <w:rFonts w:ascii="宋体" w:hAnsi="宋体" w:cs="Arial"/>
          <w:color w:val="000000"/>
          <w:sz w:val="24"/>
        </w:rPr>
        <w:t>工程的质量是工程成功的一个重要标准，因此确定一个明确的工程质量目标将十分有利于工程的进行与开展。在今后的工程施工中具有指导性的意义。针对</w:t>
      </w:r>
      <w:r>
        <w:rPr>
          <w:rFonts w:hint="eastAsia" w:ascii="宋体" w:hAnsi="宋体" w:cs="Arial"/>
          <w:color w:val="000000"/>
          <w:sz w:val="24"/>
        </w:rPr>
        <w:t>周至县公安局交警大队道路交通安全隐患治理</w:t>
      </w:r>
      <w:r>
        <w:rPr>
          <w:rFonts w:ascii="宋体" w:hAnsi="宋体" w:cs="Arial"/>
          <w:color w:val="000000"/>
          <w:sz w:val="24"/>
        </w:rPr>
        <w:t>工程，我们提出来的质量目标是保证工程质量达到优良工程。</w:t>
      </w:r>
    </w:p>
    <w:p>
      <w:pPr>
        <w:spacing w:line="360" w:lineRule="auto"/>
        <w:ind w:firstLine="480"/>
        <w:rPr>
          <w:rFonts w:hint="eastAsia" w:ascii="宋体" w:hAnsi="宋体" w:cs="Arial"/>
          <w:color w:val="000000"/>
          <w:sz w:val="24"/>
        </w:rPr>
      </w:pPr>
      <w:r>
        <w:rPr>
          <w:rFonts w:ascii="宋体" w:hAnsi="宋体" w:eastAsia="宋体" w:cs="宋体"/>
          <w:spacing w:val="-12"/>
          <w:sz w:val="24"/>
          <w:szCs w:val="24"/>
        </w:rPr>
        <w:t>执行</w:t>
      </w:r>
      <w:r>
        <w:rPr>
          <w:rFonts w:ascii="宋体" w:hAnsi="宋体" w:eastAsia="宋体" w:cs="宋体"/>
          <w:spacing w:val="-18"/>
          <w:sz w:val="24"/>
          <w:szCs w:val="24"/>
        </w:rPr>
        <w:t xml:space="preserve"> </w:t>
      </w:r>
      <w:r>
        <w:rPr>
          <w:rFonts w:ascii="宋体" w:hAnsi="宋体" w:eastAsia="宋体" w:cs="宋体"/>
          <w:spacing w:val="-12"/>
          <w:sz w:val="24"/>
          <w:szCs w:val="24"/>
        </w:rPr>
        <w:t>GA38-2001《安全防范系统验收规则》、《建筑工程施工质量验收统一标准》(GB50300</w:t>
      </w:r>
      <w:r>
        <w:rPr>
          <w:rFonts w:ascii="宋体" w:hAnsi="宋体" w:eastAsia="宋体" w:cs="宋体"/>
          <w:sz w:val="24"/>
          <w:szCs w:val="24"/>
        </w:rPr>
        <w:t>－2001)及相关国家标准的要求及国家（行业）现行的相关质量标准、验收规范、质量检验</w:t>
      </w:r>
      <w:r>
        <w:rPr>
          <w:rFonts w:ascii="宋体" w:hAnsi="宋体" w:eastAsia="宋体" w:cs="宋体"/>
          <w:spacing w:val="-2"/>
          <w:sz w:val="24"/>
          <w:szCs w:val="24"/>
        </w:rPr>
        <w:t>评定标准及本招标文件的内容进行施工，工程质量一次性验收合格。</w:t>
      </w:r>
    </w:p>
    <w:p>
      <w:pPr>
        <w:pStyle w:val="4"/>
        <w:numPr>
          <w:ilvl w:val="1"/>
          <w:numId w:val="87"/>
        </w:numPr>
        <w:rPr>
          <w:rFonts w:hint="eastAsia" w:ascii="宋体" w:hAnsi="宋体"/>
          <w:sz w:val="28"/>
          <w:szCs w:val="28"/>
        </w:rPr>
      </w:pPr>
      <w:bookmarkStart w:id="344" w:name="_Toc19646"/>
      <w:bookmarkStart w:id="345" w:name="_Toc15743"/>
      <w:bookmarkStart w:id="346" w:name="_Toc12229"/>
      <w:bookmarkStart w:id="347" w:name="_Toc29794"/>
      <w:bookmarkStart w:id="348" w:name="_Toc9343"/>
      <w:r>
        <w:rPr>
          <w:rFonts w:cs="Arial"/>
          <w:bCs w:val="0"/>
          <w:color w:val="000000"/>
          <w:sz w:val="28"/>
          <w:szCs w:val="28"/>
        </w:rPr>
        <w:t>施工质量保证措施</w:t>
      </w:r>
      <w:bookmarkEnd w:id="344"/>
      <w:bookmarkEnd w:id="345"/>
      <w:bookmarkEnd w:id="346"/>
      <w:bookmarkEnd w:id="347"/>
      <w:bookmarkEnd w:id="348"/>
    </w:p>
    <w:p>
      <w:pPr>
        <w:pStyle w:val="3"/>
        <w:rPr>
          <w:rFonts w:hint="eastAsia" w:ascii="宋体" w:hAnsi="宋体" w:cs="Arial"/>
          <w:color w:val="000000"/>
          <w:sz w:val="24"/>
          <w:lang w:val="en-US" w:eastAsia="zh-CN"/>
        </w:rPr>
      </w:pPr>
      <w:bookmarkStart w:id="349" w:name="_Toc13978"/>
      <w:bookmarkStart w:id="350" w:name="_Toc25624"/>
      <w:r>
        <w:rPr>
          <w:rFonts w:hint="eastAsia" w:ascii="宋体" w:hAnsi="宋体" w:eastAsia="宋体" w:cs="宋体"/>
          <w:bCs w:val="0"/>
          <w:color w:val="000000"/>
          <w:sz w:val="24"/>
          <w:szCs w:val="24"/>
          <w:lang w:val="en-US" w:eastAsia="zh-CN"/>
        </w:rPr>
        <w:t>2.2.1 质量控制概述</w:t>
      </w:r>
      <w:bookmarkEnd w:id="349"/>
      <w:bookmarkEnd w:id="350"/>
    </w:p>
    <w:p>
      <w:pPr>
        <w:spacing w:line="360" w:lineRule="auto"/>
        <w:ind w:firstLine="480"/>
        <w:rPr>
          <w:rFonts w:hint="eastAsia" w:ascii="宋体" w:hAnsi="宋体" w:cs="Arial"/>
          <w:color w:val="000000"/>
          <w:sz w:val="24"/>
        </w:rPr>
      </w:pPr>
      <w:r>
        <w:rPr>
          <w:rFonts w:hint="eastAsia" w:ascii="宋体" w:hAnsi="宋体" w:cs="Arial"/>
          <w:color w:val="000000"/>
          <w:sz w:val="24"/>
        </w:rPr>
        <w:t>周至县公安局交警大队道路交通安全隐患治理工程的质量是系统性能的保证，是达到系统设计目标的必要手段。我公司坚持“质量第一，用户至上”的原则，以“对工程的质量问题进行事先防范，严格进行过程控制，而非事后补救”为宗旨，针对施工过程中影响工程质量的五大因素：人、材料、机械、方法、环境，制订出相关的先是控制对策及质量预控措施，建立有效的质量保证体系，严格做好施工质量的管理及控制工作。</w:t>
      </w:r>
    </w:p>
    <w:p>
      <w:pPr>
        <w:pStyle w:val="3"/>
        <w:rPr>
          <w:rFonts w:hint="eastAsia" w:ascii="宋体" w:hAnsi="宋体" w:eastAsia="宋体" w:cs="宋体"/>
          <w:bCs w:val="0"/>
          <w:color w:val="000000"/>
          <w:sz w:val="24"/>
          <w:szCs w:val="24"/>
          <w:lang w:val="en-US" w:eastAsia="zh-CN"/>
        </w:rPr>
      </w:pPr>
      <w:bookmarkStart w:id="351" w:name="_Toc17898"/>
      <w:bookmarkStart w:id="352" w:name="_Toc27635"/>
      <w:r>
        <w:rPr>
          <w:rFonts w:hint="eastAsia" w:ascii="宋体" w:hAnsi="宋体" w:eastAsia="宋体" w:cs="宋体"/>
          <w:bCs w:val="0"/>
          <w:color w:val="000000"/>
          <w:sz w:val="24"/>
          <w:szCs w:val="24"/>
          <w:lang w:val="en-US" w:eastAsia="zh-CN"/>
        </w:rPr>
        <w:t>2.2.2 质量控制所采用的规范、规程及标准</w:t>
      </w:r>
      <w:bookmarkEnd w:id="351"/>
      <w:bookmarkEnd w:id="352"/>
    </w:p>
    <w:p>
      <w:pPr>
        <w:spacing w:line="360" w:lineRule="auto"/>
        <w:ind w:firstLine="480"/>
        <w:rPr>
          <w:rFonts w:hint="eastAsia" w:ascii="宋体" w:hAnsi="宋体" w:cs="Arial"/>
          <w:color w:val="000000"/>
          <w:sz w:val="24"/>
          <w:lang w:val="en-US" w:eastAsia="zh-CN"/>
        </w:rPr>
      </w:pPr>
      <w:r>
        <w:rPr>
          <w:rFonts w:hint="eastAsia" w:ascii="宋体" w:hAnsi="宋体" w:cs="Arial"/>
          <w:color w:val="000000"/>
          <w:sz w:val="24"/>
        </w:rPr>
        <w:t>按照 GB/T19001-2000《质量管理体系要求》，GB50300《建筑工程施工质量验收统一标准》，</w:t>
      </w:r>
      <w:r>
        <w:rPr>
          <w:rFonts w:ascii="宋体" w:hAnsi="宋体" w:eastAsia="宋体" w:cs="宋体"/>
          <w:spacing w:val="-2"/>
          <w:sz w:val="24"/>
          <w:szCs w:val="24"/>
        </w:rPr>
        <w:t>GBJ</w:t>
      </w:r>
      <w:r>
        <w:rPr>
          <w:rFonts w:ascii="宋体" w:hAnsi="宋体" w:eastAsia="宋体" w:cs="宋体"/>
          <w:spacing w:val="12"/>
          <w:sz w:val="24"/>
          <w:szCs w:val="24"/>
        </w:rPr>
        <w:t xml:space="preserve"> </w:t>
      </w:r>
      <w:r>
        <w:rPr>
          <w:rFonts w:ascii="宋体" w:hAnsi="宋体" w:eastAsia="宋体" w:cs="宋体"/>
          <w:spacing w:val="-2"/>
          <w:sz w:val="24"/>
          <w:szCs w:val="24"/>
        </w:rPr>
        <w:t>232-92</w:t>
      </w:r>
      <w:r>
        <w:rPr>
          <w:rFonts w:hint="eastAsia" w:hAnsi="宋体" w:cs="Arial"/>
          <w:color w:val="000000"/>
          <w:sz w:val="24"/>
          <w:lang w:eastAsia="zh-CN"/>
        </w:rPr>
        <w:t>《</w:t>
      </w:r>
      <w:r>
        <w:rPr>
          <w:rFonts w:ascii="宋体" w:hAnsi="宋体" w:eastAsia="宋体" w:cs="宋体"/>
          <w:spacing w:val="-2"/>
          <w:sz w:val="24"/>
          <w:szCs w:val="24"/>
        </w:rPr>
        <w:t>电气装置安装工程施工及验收规范</w:t>
      </w:r>
      <w:r>
        <w:rPr>
          <w:rFonts w:hint="eastAsia" w:hAnsi="宋体" w:cs="Arial"/>
          <w:color w:val="000000"/>
          <w:sz w:val="24"/>
          <w:lang w:eastAsia="zh-CN"/>
        </w:rPr>
        <w:t>》</w:t>
      </w:r>
      <w:r>
        <w:rPr>
          <w:rFonts w:hint="eastAsia" w:ascii="宋体" w:hAnsi="宋体" w:cs="Arial"/>
          <w:color w:val="000000"/>
          <w:sz w:val="24"/>
        </w:rPr>
        <w:t>，</w:t>
      </w:r>
      <w:r>
        <w:rPr>
          <w:rFonts w:ascii="宋体" w:hAnsi="宋体" w:eastAsia="宋体" w:cs="宋体"/>
          <w:spacing w:val="-2"/>
          <w:sz w:val="24"/>
          <w:szCs w:val="24"/>
        </w:rPr>
        <w:t>YD/T</w:t>
      </w:r>
      <w:r>
        <w:rPr>
          <w:rFonts w:ascii="宋体" w:hAnsi="宋体" w:eastAsia="宋体" w:cs="宋体"/>
          <w:spacing w:val="27"/>
          <w:sz w:val="24"/>
          <w:szCs w:val="24"/>
        </w:rPr>
        <w:t xml:space="preserve"> </w:t>
      </w:r>
      <w:r>
        <w:rPr>
          <w:rFonts w:ascii="宋体" w:hAnsi="宋体" w:eastAsia="宋体" w:cs="宋体"/>
          <w:spacing w:val="-2"/>
          <w:sz w:val="24"/>
          <w:szCs w:val="24"/>
        </w:rPr>
        <w:t>1013-1999</w:t>
      </w:r>
      <w:r>
        <w:rPr>
          <w:rFonts w:hint="eastAsia" w:hAnsi="宋体" w:cs="Arial"/>
          <w:color w:val="000000"/>
          <w:sz w:val="24"/>
          <w:lang w:eastAsia="zh-CN"/>
        </w:rPr>
        <w:t>《</w:t>
      </w:r>
      <w:r>
        <w:rPr>
          <w:rFonts w:ascii="宋体" w:hAnsi="宋体" w:eastAsia="宋体" w:cs="宋体"/>
          <w:spacing w:val="-2"/>
          <w:sz w:val="24"/>
          <w:szCs w:val="24"/>
        </w:rPr>
        <w:t>综合布线系统电气特性通用测试方法</w:t>
      </w:r>
      <w:r>
        <w:rPr>
          <w:rFonts w:hint="eastAsia" w:hAnsi="宋体" w:cs="Arial"/>
          <w:color w:val="000000"/>
          <w:sz w:val="24"/>
          <w:lang w:eastAsia="zh-CN"/>
        </w:rPr>
        <w:t>》</w:t>
      </w:r>
      <w:r>
        <w:rPr>
          <w:rFonts w:hint="eastAsia" w:ascii="宋体" w:hAnsi="宋体" w:cs="Arial"/>
          <w:color w:val="000000"/>
          <w:sz w:val="24"/>
        </w:rPr>
        <w:t>，</w:t>
      </w:r>
      <w:r>
        <w:rPr>
          <w:rFonts w:ascii="宋体" w:hAnsi="宋体" w:eastAsia="宋体" w:cs="宋体"/>
          <w:spacing w:val="-4"/>
          <w:sz w:val="24"/>
          <w:szCs w:val="24"/>
        </w:rPr>
        <w:t>GB/T50312-2000《建筑与建筑群综合布线系统工程验收规范》</w:t>
      </w:r>
      <w:r>
        <w:rPr>
          <w:rFonts w:hint="eastAsia" w:hAnsi="宋体" w:cs="宋体"/>
          <w:spacing w:val="-4"/>
          <w:sz w:val="24"/>
          <w:szCs w:val="24"/>
          <w:lang w:eastAsia="zh-CN"/>
        </w:rPr>
        <w:t>，</w:t>
      </w:r>
      <w:r>
        <w:rPr>
          <w:rFonts w:hint="eastAsia" w:ascii="宋体" w:hAnsi="宋体" w:cs="Arial"/>
          <w:color w:val="000000"/>
          <w:sz w:val="24"/>
        </w:rPr>
        <w:t>GB/T19002－ISO9002</w:t>
      </w:r>
      <w:r>
        <w:rPr>
          <w:rFonts w:hint="eastAsia" w:hAnsi="宋体" w:cs="Arial"/>
          <w:color w:val="000000"/>
          <w:sz w:val="24"/>
          <w:lang w:eastAsia="zh-CN"/>
        </w:rPr>
        <w:t>《</w:t>
      </w:r>
      <w:r>
        <w:rPr>
          <w:rFonts w:hint="eastAsia" w:ascii="宋体" w:hAnsi="宋体" w:cs="Arial"/>
          <w:color w:val="000000"/>
          <w:sz w:val="24"/>
        </w:rPr>
        <w:t>质量管理体系</w:t>
      </w:r>
      <w:r>
        <w:rPr>
          <w:rFonts w:hint="eastAsia" w:hAnsi="宋体" w:cs="Arial"/>
          <w:color w:val="000000"/>
          <w:sz w:val="24"/>
          <w:lang w:eastAsia="zh-CN"/>
        </w:rPr>
        <w:t>》</w:t>
      </w:r>
      <w:r>
        <w:rPr>
          <w:rFonts w:hint="eastAsia" w:ascii="宋体" w:hAnsi="宋体" w:cs="Arial"/>
          <w:color w:val="000000"/>
          <w:sz w:val="24"/>
        </w:rPr>
        <w:t>对施工的每个过程进行质量控制。</w:t>
      </w:r>
    </w:p>
    <w:p>
      <w:pPr>
        <w:pStyle w:val="3"/>
        <w:rPr>
          <w:rFonts w:hint="eastAsia" w:ascii="宋体" w:hAnsi="宋体" w:eastAsia="宋体" w:cs="宋体"/>
          <w:bCs w:val="0"/>
          <w:color w:val="000000"/>
          <w:sz w:val="24"/>
          <w:szCs w:val="24"/>
          <w:lang w:val="en-US" w:eastAsia="zh-CN"/>
        </w:rPr>
      </w:pPr>
      <w:bookmarkStart w:id="353" w:name="_Toc7240"/>
      <w:bookmarkStart w:id="354" w:name="_Toc32545"/>
      <w:r>
        <w:rPr>
          <w:rFonts w:hint="eastAsia" w:ascii="宋体" w:hAnsi="宋体" w:eastAsia="宋体" w:cs="宋体"/>
          <w:bCs w:val="0"/>
          <w:color w:val="000000"/>
          <w:sz w:val="24"/>
          <w:szCs w:val="24"/>
          <w:lang w:val="en-US" w:eastAsia="zh-CN"/>
        </w:rPr>
        <w:t>2.2.3 质量控制编制范围</w:t>
      </w:r>
      <w:bookmarkEnd w:id="353"/>
      <w:bookmarkEnd w:id="354"/>
    </w:p>
    <w:p>
      <w:pPr>
        <w:spacing w:line="360" w:lineRule="auto"/>
        <w:ind w:firstLine="480"/>
        <w:rPr>
          <w:rFonts w:hint="eastAsia" w:ascii="宋体" w:hAnsi="宋体" w:cs="Arial"/>
          <w:color w:val="000000"/>
          <w:sz w:val="24"/>
          <w:lang w:val="en-US" w:eastAsia="zh-CN"/>
        </w:rPr>
      </w:pPr>
      <w:r>
        <w:rPr>
          <w:rFonts w:hint="eastAsia" w:ascii="宋体" w:hAnsi="宋体" w:cs="Arial"/>
          <w:color w:val="000000"/>
          <w:sz w:val="24"/>
        </w:rPr>
        <w:t>包括项目设计电子警察前端系统施工、卡口测速系统施工、信号控制前端系统施工、指挥中心及分析研判系统施工、传输线路施工，设备采购安装调试，检验检测，竣工验收，技术服务，售后服务和后期维护(含网络维护和保障)。</w:t>
      </w:r>
    </w:p>
    <w:p>
      <w:pPr>
        <w:pStyle w:val="3"/>
        <w:rPr>
          <w:rFonts w:hint="eastAsia" w:ascii="宋体" w:hAnsi="宋体" w:eastAsia="宋体" w:cs="宋体"/>
          <w:bCs w:val="0"/>
          <w:color w:val="000000"/>
          <w:sz w:val="24"/>
          <w:szCs w:val="24"/>
          <w:lang w:val="en-US" w:eastAsia="zh-CN"/>
        </w:rPr>
      </w:pPr>
      <w:bookmarkStart w:id="355" w:name="_Toc14753"/>
      <w:bookmarkStart w:id="356" w:name="_Toc2397"/>
      <w:r>
        <w:rPr>
          <w:rFonts w:hint="eastAsia" w:ascii="宋体" w:hAnsi="宋体" w:eastAsia="宋体" w:cs="宋体"/>
          <w:bCs w:val="0"/>
          <w:color w:val="000000"/>
          <w:sz w:val="24"/>
          <w:szCs w:val="24"/>
          <w:lang w:val="en-US" w:eastAsia="zh-CN"/>
        </w:rPr>
        <w:t xml:space="preserve">2.2.4 </w:t>
      </w:r>
      <w:bookmarkStart w:id="357" w:name="_Toc101006049"/>
      <w:r>
        <w:rPr>
          <w:rFonts w:hint="eastAsia" w:ascii="宋体" w:hAnsi="宋体" w:eastAsia="宋体" w:cs="宋体"/>
          <w:bCs w:val="0"/>
          <w:color w:val="000000"/>
          <w:sz w:val="24"/>
          <w:szCs w:val="24"/>
          <w:lang w:val="en-US" w:eastAsia="zh-CN"/>
        </w:rPr>
        <w:t>施工质量保证措施</w:t>
      </w:r>
      <w:bookmarkEnd w:id="355"/>
      <w:bookmarkEnd w:id="356"/>
      <w:bookmarkEnd w:id="357"/>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我公司建立了ISO9002质量管理体系标准，对该工程依照ISO9002质量管理体系标准，实行工程质量四级管理。即：施工班组进行自检→项目部质检组现场检查→工程公司质检部整体检查→总公司质检处抽查。做到逐层检查，对不符合施工规范的施工坚决杜绝。</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对于现场施工人员电工须持有电工操作证；电焊工须有焊工操作证</w:t>
      </w:r>
      <w:r>
        <w:rPr>
          <w:rFonts w:hint="eastAsia" w:ascii="宋体" w:hAnsi="宋体" w:cs="Arial"/>
          <w:color w:val="000000"/>
          <w:sz w:val="24"/>
          <w:lang w:eastAsia="zh-CN"/>
        </w:rPr>
        <w:t>；</w:t>
      </w:r>
      <w:r>
        <w:rPr>
          <w:rFonts w:hint="eastAsia" w:ascii="宋体" w:hAnsi="宋体" w:cs="Arial"/>
          <w:color w:val="000000"/>
          <w:sz w:val="24"/>
        </w:rPr>
        <w:t>技术骨干还需持有</w:t>
      </w:r>
      <w:r>
        <w:rPr>
          <w:rFonts w:hint="eastAsia" w:ascii="宋体" w:hAnsi="宋体" w:cs="Arial"/>
          <w:color w:val="000000"/>
          <w:sz w:val="24"/>
          <w:lang w:val="en-US" w:eastAsia="zh-CN"/>
        </w:rPr>
        <w:t>建造师证</w:t>
      </w:r>
      <w:r>
        <w:rPr>
          <w:rFonts w:hint="eastAsia" w:ascii="宋体" w:hAnsi="宋体" w:cs="Arial"/>
          <w:color w:val="000000"/>
          <w:sz w:val="24"/>
        </w:rPr>
        <w:t>。</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建立完善的项目管理队伍，制订严格的项目管理制度，设立专职的质量管理人员。质量管理人员参与项目计划的制订，避免为追求进度而带来质量隐患。同时，质量管理人员必须亲临现场，掌握项目进展中的实际质量情况，随时对工程中的质量问题进行处理。</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针对具体的施工任务，编写明确的技术与质量要求、安全防火注意事项，必要时绘制出安装大样图，对班组全体人员进行详细的技术交底，明确施工工艺及施工顺序，落实产品的保护措施，做到人人心中有数。</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实行技术和质量负责制，进行层层技术把关。对各子系统配备有专业技术人员负责系统的深化设计并负责现场施工的技术指导。施工过程中编制相关技术文件，报监理和建设方审批，施工中根据施工情况编制隐蔽工程验收计划，对隐蔽工程自检。作好施工日志。按监理方要求整理工程技术资料。</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各级施工人员在施工中对不易实现设计意图的部位，设计不符合有关施工规范的地方等，认真做好记录，及时向设计部门及甲方提出洽商解决的办法。</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在施工过程中发扬“一丝不苟 ，兢兢业业”的敬业精神，真正体现我们的施工工艺，做到精品工程。</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制订并实施严格的设备、器材入库、进场、检验制度，确保设备材料质量。</w:t>
      </w:r>
    </w:p>
    <w:p>
      <w:pPr>
        <w:numPr>
          <w:ilvl w:val="0"/>
          <w:numId w:val="88"/>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安装调试完毕，所有的器具及设备一次擦净，交工前执行成品保护奖罚措施，保证产品完好无损。</w:t>
      </w:r>
    </w:p>
    <w:p>
      <w:pPr>
        <w:pStyle w:val="3"/>
        <w:rPr>
          <w:rFonts w:hint="eastAsia" w:ascii="宋体" w:hAnsi="宋体" w:eastAsia="宋体" w:cs="宋体"/>
          <w:bCs w:val="0"/>
          <w:color w:val="000000"/>
          <w:sz w:val="24"/>
          <w:szCs w:val="24"/>
          <w:lang w:val="en-US" w:eastAsia="zh-CN"/>
        </w:rPr>
      </w:pPr>
      <w:bookmarkStart w:id="358" w:name="_Toc1132"/>
      <w:bookmarkStart w:id="359" w:name="_Toc18182"/>
      <w:r>
        <w:rPr>
          <w:rFonts w:hint="eastAsia" w:ascii="宋体" w:hAnsi="宋体" w:eastAsia="宋体" w:cs="宋体"/>
          <w:bCs w:val="0"/>
          <w:color w:val="000000"/>
          <w:sz w:val="24"/>
          <w:szCs w:val="24"/>
          <w:lang w:val="en-US" w:eastAsia="zh-CN"/>
        </w:rPr>
        <w:t>2.2.4 施工过程中的质量控制程序</w:t>
      </w:r>
      <w:bookmarkEnd w:id="358"/>
      <w:bookmarkEnd w:id="359"/>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参与图纸会审并记录；</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编制施工组织设计及质量计划；</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作好资源配置工作，做出劳动力、材料、机具计划，分阶段组织实施；</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合理安排施工顺序，协调好各专业工种的交叉作业，确保施工进度按计划进行，并视施工现场实际情况，及时调整工程总进度控制计划；</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在项目施工过程中设立中继检查点，对质量问题做到防患于未然。各子系统工程均应列出“关键工序”、“关键质量控制点”，并报监理确认，在工程实施中及时跟踪检验，对影响工程质量的“关键工序”和“关键质量控制点”进行严格控制，确保工程质量。</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每周组织一次质量自评会议，讨论解决存在的质量问题。每月组织一次质量检查评比会。及时对出现的质量问题提出处理解决方案。</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监控系统试运行前组织项目经理部及公司质检部人员，并邀请甲方、监理方进行质量检查。做好检查记录，针对存在问题进行整改。</w:t>
      </w:r>
    </w:p>
    <w:p>
      <w:pPr>
        <w:numPr>
          <w:ilvl w:val="0"/>
          <w:numId w:val="89"/>
        </w:numPr>
        <w:tabs>
          <w:tab w:val="left" w:pos="525"/>
          <w:tab w:val="clear" w:pos="840"/>
        </w:tabs>
        <w:spacing w:line="360" w:lineRule="auto"/>
        <w:ind w:left="420"/>
        <w:rPr>
          <w:rFonts w:ascii="宋体" w:hAnsi="宋体" w:cs="Arial"/>
          <w:color w:val="000000"/>
          <w:sz w:val="24"/>
        </w:rPr>
      </w:pPr>
      <w:r>
        <w:rPr>
          <w:rFonts w:ascii="宋体" w:hAnsi="宋体" w:cs="Arial"/>
          <w:color w:val="000000"/>
          <w:sz w:val="24"/>
        </w:rPr>
        <w:t>作好成品保护和竣工资料的收集、整理、编制及存档工作。</w:t>
      </w:r>
    </w:p>
    <w:p>
      <w:pPr>
        <w:pStyle w:val="3"/>
        <w:rPr>
          <w:rFonts w:hint="eastAsia" w:ascii="宋体" w:hAnsi="宋体" w:eastAsia="宋体" w:cs="宋体"/>
          <w:bCs w:val="0"/>
          <w:color w:val="000000"/>
          <w:sz w:val="24"/>
          <w:szCs w:val="24"/>
          <w:lang w:val="en-US" w:eastAsia="zh-CN"/>
        </w:rPr>
      </w:pPr>
      <w:bookmarkStart w:id="360" w:name="_Toc16866"/>
      <w:bookmarkStart w:id="361" w:name="_Toc28409"/>
      <w:r>
        <w:rPr>
          <w:rFonts w:hint="eastAsia" w:ascii="宋体" w:hAnsi="宋体" w:eastAsia="宋体" w:cs="宋体"/>
          <w:bCs w:val="0"/>
          <w:color w:val="000000"/>
          <w:sz w:val="24"/>
          <w:szCs w:val="24"/>
          <w:lang w:val="en-US" w:eastAsia="zh-CN"/>
        </w:rPr>
        <w:t>2.2.5 施工质量控制示意图</w:t>
      </w:r>
      <w:bookmarkEnd w:id="360"/>
      <w:bookmarkEnd w:id="361"/>
    </w:p>
    <w:p>
      <w:pPr>
        <w:pStyle w:val="3"/>
        <w:rPr>
          <w:rFonts w:hint="eastAsia" w:ascii="宋体" w:hAnsi="宋体" w:cs="Arial"/>
          <w:color w:val="000000"/>
          <w:sz w:val="24"/>
          <w:lang w:val="en-US" w:eastAsia="zh-CN"/>
        </w:rPr>
      </w:pPr>
      <w:r>
        <w:rPr>
          <w:rFonts w:hint="eastAsia" w:ascii="宋体" w:hAnsi="宋体" w:eastAsia="宋体" w:cs="宋体"/>
          <w:bCs w:val="0"/>
          <w:color w:val="000000"/>
          <w:sz w:val="24"/>
          <w:szCs w:val="24"/>
          <w:lang w:val="en-US" w:eastAsia="zh-CN"/>
        </w:rPr>
        <mc:AlternateContent>
          <mc:Choice Requires="wpg">
            <w:drawing>
              <wp:anchor distT="0" distB="0" distL="114300" distR="114300" simplePos="0" relativeHeight="251665408" behindDoc="0" locked="0" layoutInCell="1" allowOverlap="1">
                <wp:simplePos x="0" y="0"/>
                <wp:positionH relativeFrom="column">
                  <wp:posOffset>0</wp:posOffset>
                </wp:positionH>
                <wp:positionV relativeFrom="paragraph">
                  <wp:posOffset>234950</wp:posOffset>
                </wp:positionV>
                <wp:extent cx="5600700" cy="3169920"/>
                <wp:effectExtent l="4445" t="4445" r="8255" b="13335"/>
                <wp:wrapTopAndBottom/>
                <wp:docPr id="20" name="组合 140"/>
                <wp:cNvGraphicFramePr/>
                <a:graphic xmlns:a="http://schemas.openxmlformats.org/drawingml/2006/main">
                  <a:graphicData uri="http://schemas.microsoft.com/office/word/2010/wordprocessingGroup">
                    <wpg:wgp>
                      <wpg:cNvGrpSpPr/>
                      <wpg:grpSpPr>
                        <a:xfrm>
                          <a:off x="0" y="0"/>
                          <a:ext cx="5600700" cy="3169920"/>
                          <a:chOff x="1620" y="2220"/>
                          <a:chExt cx="8820" cy="4992"/>
                        </a:xfrm>
                      </wpg:grpSpPr>
                      <wps:wsp>
                        <wps:cNvPr id="33" name="矩形 141"/>
                        <wps:cNvSpPr/>
                        <wps:spPr>
                          <a:xfrm>
                            <a:off x="1620" y="3624"/>
                            <a:ext cx="54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p>
                            <w:p>
                              <w:pPr>
                                <w:jc w:val="center"/>
                                <w:rPr>
                                  <w:rFonts w:hint="eastAsia" w:eastAsia="仿宋_GB2312"/>
                                  <w:color w:val="000000"/>
                                  <w:sz w:val="24"/>
                                </w:rPr>
                              </w:pPr>
                              <w:r>
                                <w:rPr>
                                  <w:rFonts w:hint="eastAsia" w:eastAsia="仿宋_GB2312"/>
                                  <w:color w:val="000000"/>
                                  <w:sz w:val="24"/>
                                </w:rPr>
                                <w:t>施工人员</w:t>
                              </w:r>
                            </w:p>
                          </w:txbxContent>
                        </wps:txbx>
                        <wps:bodyPr wrap="square" upright="1"/>
                      </wps:wsp>
                      <wps:wsp>
                        <wps:cNvPr id="34" name="矩形 142"/>
                        <wps:cNvSpPr/>
                        <wps:spPr>
                          <a:xfrm>
                            <a:off x="3060" y="2532"/>
                            <a:ext cx="14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施工工长</w:t>
                              </w:r>
                            </w:p>
                          </w:txbxContent>
                        </wps:txbx>
                        <wps:bodyPr wrap="square" upright="1"/>
                      </wps:wsp>
                      <wps:wsp>
                        <wps:cNvPr id="35" name="矩形 143"/>
                        <wps:cNvSpPr/>
                        <wps:spPr>
                          <a:xfrm>
                            <a:off x="3060" y="4404"/>
                            <a:ext cx="14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施工工人</w:t>
                              </w:r>
                            </w:p>
                          </w:txbxContent>
                        </wps:txbx>
                        <wps:bodyPr wrap="square" upright="1"/>
                      </wps:wsp>
                      <wps:wsp>
                        <wps:cNvPr id="36" name="矩形 144"/>
                        <wps:cNvSpPr/>
                        <wps:spPr>
                          <a:xfrm>
                            <a:off x="3060" y="6276"/>
                            <a:ext cx="14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质检人员</w:t>
                              </w:r>
                            </w:p>
                          </w:txbxContent>
                        </wps:txbx>
                        <wps:bodyPr wrap="square" upright="1"/>
                      </wps:wsp>
                      <wps:wsp>
                        <wps:cNvPr id="37" name="矩形 145"/>
                        <wps:cNvSpPr/>
                        <wps:spPr>
                          <a:xfrm>
                            <a:off x="5220" y="2220"/>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无进度措施</w:t>
                              </w:r>
                            </w:p>
                          </w:txbxContent>
                        </wps:txbx>
                        <wps:bodyPr wrap="square" upright="1"/>
                      </wps:wsp>
                      <wps:wsp>
                        <wps:cNvPr id="38" name="矩形 146"/>
                        <wps:cNvSpPr/>
                        <wps:spPr>
                          <a:xfrm>
                            <a:off x="7560" y="2220"/>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施工前编制组织设计</w:t>
                              </w:r>
                            </w:p>
                          </w:txbxContent>
                        </wps:txbx>
                        <wps:bodyPr wrap="square" upright="1"/>
                      </wps:wsp>
                      <wps:wsp>
                        <wps:cNvPr id="39" name="矩形 147"/>
                        <wps:cNvSpPr/>
                        <wps:spPr>
                          <a:xfrm>
                            <a:off x="5220" y="3000"/>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仿宋_GB2312"/>
                                  <w:color w:val="000000"/>
                                  <w:sz w:val="24"/>
                                </w:rPr>
                              </w:pPr>
                              <w:r>
                                <w:rPr>
                                  <w:rFonts w:hint="eastAsia" w:eastAsia="仿宋_GB2312"/>
                                  <w:color w:val="000000"/>
                                  <w:sz w:val="24"/>
                                </w:rPr>
                                <w:t>重进度轻质量</w:t>
                              </w:r>
                            </w:p>
                          </w:txbxContent>
                        </wps:txbx>
                        <wps:bodyPr wrap="square" upright="1"/>
                      </wps:wsp>
                      <wps:wsp>
                        <wps:cNvPr id="40" name="矩形 148"/>
                        <wps:cNvSpPr/>
                        <wps:spPr>
                          <a:xfrm>
                            <a:off x="7560" y="3000"/>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加强质量教育、限期改正</w:t>
                              </w:r>
                            </w:p>
                          </w:txbxContent>
                        </wps:txbx>
                        <wps:bodyPr wrap="square" upright="1"/>
                      </wps:wsp>
                      <wps:wsp>
                        <wps:cNvPr id="41" name="矩形 149"/>
                        <wps:cNvSpPr/>
                        <wps:spPr>
                          <a:xfrm>
                            <a:off x="5220" y="3936"/>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仿宋_GB2312"/>
                                  <w:color w:val="000000"/>
                                  <w:sz w:val="24"/>
                                </w:rPr>
                              </w:pPr>
                              <w:r>
                                <w:rPr>
                                  <w:rFonts w:hint="eastAsia" w:eastAsia="仿宋_GB2312"/>
                                  <w:color w:val="000000"/>
                                  <w:sz w:val="24"/>
                                </w:rPr>
                                <w:t>操作不规范</w:t>
                              </w:r>
                            </w:p>
                            <w:p>
                              <w:pPr>
                                <w:rPr>
                                  <w:rFonts w:hint="eastAsia" w:eastAsia="仿宋_GB2312"/>
                                  <w:color w:val="000000"/>
                                  <w:sz w:val="24"/>
                                </w:rPr>
                              </w:pPr>
                            </w:p>
                          </w:txbxContent>
                        </wps:txbx>
                        <wps:bodyPr wrap="square" upright="1"/>
                      </wps:wsp>
                      <wps:wsp>
                        <wps:cNvPr id="42" name="矩形 150"/>
                        <wps:cNvSpPr/>
                        <wps:spPr>
                          <a:xfrm>
                            <a:off x="5220" y="4872"/>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仿宋_GB2312"/>
                                  <w:color w:val="000000"/>
                                  <w:sz w:val="24"/>
                                </w:rPr>
                              </w:pPr>
                              <w:r>
                                <w:rPr>
                                  <w:rFonts w:hint="eastAsia" w:eastAsia="仿宋_GB2312"/>
                                  <w:color w:val="000000"/>
                                  <w:sz w:val="24"/>
                                </w:rPr>
                                <w:t>自检不认真</w:t>
                              </w:r>
                            </w:p>
                          </w:txbxContent>
                        </wps:txbx>
                        <wps:bodyPr wrap="square" upright="1"/>
                      </wps:wsp>
                      <wps:wsp>
                        <wps:cNvPr id="43" name="矩形 151"/>
                        <wps:cNvSpPr/>
                        <wps:spPr>
                          <a:xfrm>
                            <a:off x="7560" y="393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kern w:val="0"/>
                                  <w:sz w:val="24"/>
                                </w:rPr>
                              </w:pPr>
                              <w:r>
                                <w:rPr>
                                  <w:rFonts w:hint="eastAsia" w:eastAsia="仿宋_GB2312"/>
                                  <w:color w:val="000000"/>
                                  <w:kern w:val="0"/>
                                  <w:sz w:val="24"/>
                                </w:rPr>
                                <w:t>加强教育、不合格不交工</w:t>
                              </w:r>
                            </w:p>
                          </w:txbxContent>
                        </wps:txbx>
                        <wps:bodyPr wrap="square" upright="1"/>
                      </wps:wsp>
                      <wps:wsp>
                        <wps:cNvPr id="44" name="矩形 152"/>
                        <wps:cNvSpPr/>
                        <wps:spPr>
                          <a:xfrm>
                            <a:off x="7560" y="4872"/>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pacing w:val="-20"/>
                                  <w:sz w:val="24"/>
                                </w:rPr>
                                <w:t>实施自检责任制并进行</w:t>
                              </w:r>
                              <w:r>
                                <w:rPr>
                                  <w:rFonts w:hint="eastAsia" w:eastAsia="仿宋_GB2312"/>
                                  <w:color w:val="000000"/>
                                  <w:sz w:val="24"/>
                                </w:rPr>
                                <w:t>奖惩</w:t>
                              </w:r>
                            </w:p>
                          </w:txbxContent>
                        </wps:txbx>
                        <wps:bodyPr wrap="square" upright="1"/>
                      </wps:wsp>
                      <wps:wsp>
                        <wps:cNvPr id="45" name="矩形 153"/>
                        <wps:cNvSpPr/>
                        <wps:spPr>
                          <a:xfrm>
                            <a:off x="5220" y="5808"/>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仿宋_GB2312"/>
                                  <w:color w:val="000000"/>
                                  <w:sz w:val="24"/>
                                </w:rPr>
                              </w:pPr>
                              <w:r>
                                <w:rPr>
                                  <w:rFonts w:hint="eastAsia" w:eastAsia="仿宋_GB2312"/>
                                  <w:color w:val="000000"/>
                                  <w:sz w:val="24"/>
                                </w:rPr>
                                <w:t>技术交底不清</w:t>
                              </w:r>
                            </w:p>
                          </w:txbxContent>
                        </wps:txbx>
                        <wps:bodyPr wrap="square" upright="1"/>
                      </wps:wsp>
                      <wps:wsp>
                        <wps:cNvPr id="46" name="矩形 154"/>
                        <wps:cNvSpPr/>
                        <wps:spPr>
                          <a:xfrm>
                            <a:off x="5220" y="6744"/>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仿宋_GB2312"/>
                                  <w:color w:val="000000"/>
                                  <w:sz w:val="24"/>
                                </w:rPr>
                              </w:pPr>
                              <w:r>
                                <w:rPr>
                                  <w:rFonts w:hint="eastAsia" w:eastAsia="仿宋_GB2312"/>
                                  <w:color w:val="000000"/>
                                  <w:sz w:val="24"/>
                                </w:rPr>
                                <w:t>专检不认真</w:t>
                              </w:r>
                            </w:p>
                          </w:txbxContent>
                        </wps:txbx>
                        <wps:bodyPr wrap="square" upright="1"/>
                      </wps:wsp>
                      <wps:wsp>
                        <wps:cNvPr id="47" name="矩形 155"/>
                        <wps:cNvSpPr/>
                        <wps:spPr>
                          <a:xfrm>
                            <a:off x="7560" y="5808"/>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pacing w:val="-20"/>
                                  <w:sz w:val="24"/>
                                </w:rPr>
                                <w:t>不定期检查技术交底效</w:t>
                              </w:r>
                              <w:r>
                                <w:rPr>
                                  <w:rFonts w:hint="eastAsia" w:eastAsia="仿宋_GB2312"/>
                                  <w:color w:val="000000"/>
                                  <w:sz w:val="24"/>
                                </w:rPr>
                                <w:t>果</w:t>
                              </w:r>
                            </w:p>
                          </w:txbxContent>
                        </wps:txbx>
                        <wps:bodyPr wrap="square" upright="1"/>
                      </wps:wsp>
                      <wps:wsp>
                        <wps:cNvPr id="48" name="矩形 156"/>
                        <wps:cNvSpPr/>
                        <wps:spPr>
                          <a:xfrm>
                            <a:off x="7560" y="6588"/>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pacing w:val="-20"/>
                                  <w:sz w:val="24"/>
                                </w:rPr>
                                <w:t>实施专检责任制并进行</w:t>
                              </w:r>
                              <w:r>
                                <w:rPr>
                                  <w:rFonts w:hint="eastAsia" w:eastAsia="仿宋_GB2312"/>
                                  <w:color w:val="000000"/>
                                  <w:sz w:val="24"/>
                                </w:rPr>
                                <w:t>奖惩</w:t>
                              </w:r>
                            </w:p>
                          </w:txbxContent>
                        </wps:txbx>
                        <wps:bodyPr wrap="square" upright="1"/>
                      </wps:wsp>
                      <wps:wsp>
                        <wps:cNvPr id="49" name="直线 157"/>
                        <wps:cNvCnPr/>
                        <wps:spPr>
                          <a:xfrm>
                            <a:off x="2160" y="4560"/>
                            <a:ext cx="900" cy="0"/>
                          </a:xfrm>
                          <a:prstGeom prst="line">
                            <a:avLst/>
                          </a:prstGeom>
                          <a:ln w="9525" cap="flat" cmpd="sng">
                            <a:solidFill>
                              <a:srgbClr val="000000"/>
                            </a:solidFill>
                            <a:prstDash val="solid"/>
                            <a:headEnd type="none" w="med" len="med"/>
                            <a:tailEnd type="none" w="med" len="med"/>
                          </a:ln>
                        </wps:spPr>
                        <wps:bodyPr upright="1"/>
                      </wps:wsp>
                      <wps:wsp>
                        <wps:cNvPr id="50" name="直线 158"/>
                        <wps:cNvCnPr/>
                        <wps:spPr>
                          <a:xfrm>
                            <a:off x="2700" y="2688"/>
                            <a:ext cx="360" cy="0"/>
                          </a:xfrm>
                          <a:prstGeom prst="line">
                            <a:avLst/>
                          </a:prstGeom>
                          <a:ln w="9525" cap="flat" cmpd="sng">
                            <a:solidFill>
                              <a:srgbClr val="000000"/>
                            </a:solidFill>
                            <a:prstDash val="solid"/>
                            <a:headEnd type="none" w="med" len="med"/>
                            <a:tailEnd type="none" w="med" len="med"/>
                          </a:ln>
                        </wps:spPr>
                        <wps:bodyPr upright="1"/>
                      </wps:wsp>
                      <wps:wsp>
                        <wps:cNvPr id="51" name="直线 159"/>
                        <wps:cNvCnPr/>
                        <wps:spPr>
                          <a:xfrm flipH="1">
                            <a:off x="2700" y="6432"/>
                            <a:ext cx="360" cy="0"/>
                          </a:xfrm>
                          <a:prstGeom prst="line">
                            <a:avLst/>
                          </a:prstGeom>
                          <a:ln w="9525" cap="flat" cmpd="sng">
                            <a:solidFill>
                              <a:srgbClr val="000000"/>
                            </a:solidFill>
                            <a:prstDash val="solid"/>
                            <a:headEnd type="none" w="med" len="med"/>
                            <a:tailEnd type="none" w="med" len="med"/>
                          </a:ln>
                        </wps:spPr>
                        <wps:bodyPr upright="1"/>
                      </wps:wsp>
                      <wps:wsp>
                        <wps:cNvPr id="52" name="直线 160"/>
                        <wps:cNvCnPr/>
                        <wps:spPr>
                          <a:xfrm>
                            <a:off x="2700" y="2688"/>
                            <a:ext cx="0" cy="3744"/>
                          </a:xfrm>
                          <a:prstGeom prst="line">
                            <a:avLst/>
                          </a:prstGeom>
                          <a:ln w="9525" cap="flat" cmpd="sng">
                            <a:solidFill>
                              <a:srgbClr val="000000"/>
                            </a:solidFill>
                            <a:prstDash val="solid"/>
                            <a:headEnd type="none" w="med" len="med"/>
                            <a:tailEnd type="none" w="med" len="med"/>
                          </a:ln>
                        </wps:spPr>
                        <wps:bodyPr upright="1"/>
                      </wps:wsp>
                      <wps:wsp>
                        <wps:cNvPr id="53" name="直线 161"/>
                        <wps:cNvCnPr/>
                        <wps:spPr>
                          <a:xfrm>
                            <a:off x="4860" y="6120"/>
                            <a:ext cx="360" cy="0"/>
                          </a:xfrm>
                          <a:prstGeom prst="line">
                            <a:avLst/>
                          </a:prstGeom>
                          <a:ln w="9525" cap="flat" cmpd="sng">
                            <a:solidFill>
                              <a:srgbClr val="000000"/>
                            </a:solidFill>
                            <a:prstDash val="solid"/>
                            <a:headEnd type="none" w="med" len="med"/>
                            <a:tailEnd type="none" w="med" len="med"/>
                          </a:ln>
                        </wps:spPr>
                        <wps:bodyPr upright="1"/>
                      </wps:wsp>
                      <wps:wsp>
                        <wps:cNvPr id="54" name="直线 162"/>
                        <wps:cNvCnPr/>
                        <wps:spPr>
                          <a:xfrm>
                            <a:off x="4860" y="6120"/>
                            <a:ext cx="0" cy="936"/>
                          </a:xfrm>
                          <a:prstGeom prst="line">
                            <a:avLst/>
                          </a:prstGeom>
                          <a:ln w="9525" cap="flat" cmpd="sng">
                            <a:solidFill>
                              <a:srgbClr val="000000"/>
                            </a:solidFill>
                            <a:prstDash val="solid"/>
                            <a:headEnd type="none" w="med" len="med"/>
                            <a:tailEnd type="none" w="med" len="med"/>
                          </a:ln>
                        </wps:spPr>
                        <wps:bodyPr upright="1"/>
                      </wps:wsp>
                      <wps:wsp>
                        <wps:cNvPr id="55" name="直线 163"/>
                        <wps:cNvCnPr/>
                        <wps:spPr>
                          <a:xfrm>
                            <a:off x="4860" y="7056"/>
                            <a:ext cx="360" cy="0"/>
                          </a:xfrm>
                          <a:prstGeom prst="line">
                            <a:avLst/>
                          </a:prstGeom>
                          <a:ln w="9525" cap="flat" cmpd="sng">
                            <a:solidFill>
                              <a:srgbClr val="000000"/>
                            </a:solidFill>
                            <a:prstDash val="solid"/>
                            <a:headEnd type="none" w="med" len="med"/>
                            <a:tailEnd type="none" w="med" len="med"/>
                          </a:ln>
                        </wps:spPr>
                        <wps:bodyPr upright="1"/>
                      </wps:wsp>
                      <wps:wsp>
                        <wps:cNvPr id="56" name="直线 164"/>
                        <wps:cNvCnPr/>
                        <wps:spPr>
                          <a:xfrm>
                            <a:off x="4500" y="6432"/>
                            <a:ext cx="360" cy="0"/>
                          </a:xfrm>
                          <a:prstGeom prst="line">
                            <a:avLst/>
                          </a:prstGeom>
                          <a:ln w="9525" cap="flat" cmpd="sng">
                            <a:solidFill>
                              <a:srgbClr val="000000"/>
                            </a:solidFill>
                            <a:prstDash val="solid"/>
                            <a:headEnd type="none" w="med" len="med"/>
                            <a:tailEnd type="none" w="med" len="med"/>
                          </a:ln>
                        </wps:spPr>
                        <wps:bodyPr upright="1"/>
                      </wps:wsp>
                      <wps:wsp>
                        <wps:cNvPr id="57" name="直线 165"/>
                        <wps:cNvCnPr/>
                        <wps:spPr>
                          <a:xfrm>
                            <a:off x="4860" y="4248"/>
                            <a:ext cx="360" cy="0"/>
                          </a:xfrm>
                          <a:prstGeom prst="line">
                            <a:avLst/>
                          </a:prstGeom>
                          <a:ln w="9525" cap="flat" cmpd="sng">
                            <a:solidFill>
                              <a:srgbClr val="000000"/>
                            </a:solidFill>
                            <a:prstDash val="solid"/>
                            <a:headEnd type="none" w="med" len="med"/>
                            <a:tailEnd type="none" w="med" len="med"/>
                          </a:ln>
                        </wps:spPr>
                        <wps:bodyPr upright="1"/>
                      </wps:wsp>
                      <wps:wsp>
                        <wps:cNvPr id="58" name="直线 166"/>
                        <wps:cNvCnPr/>
                        <wps:spPr>
                          <a:xfrm>
                            <a:off x="4860" y="5184"/>
                            <a:ext cx="360" cy="0"/>
                          </a:xfrm>
                          <a:prstGeom prst="line">
                            <a:avLst/>
                          </a:prstGeom>
                          <a:ln w="9525" cap="flat" cmpd="sng">
                            <a:solidFill>
                              <a:srgbClr val="000000"/>
                            </a:solidFill>
                            <a:prstDash val="solid"/>
                            <a:headEnd type="none" w="med" len="med"/>
                            <a:tailEnd type="none" w="med" len="med"/>
                          </a:ln>
                        </wps:spPr>
                        <wps:bodyPr upright="1"/>
                      </wps:wsp>
                      <wps:wsp>
                        <wps:cNvPr id="59" name="直线 167"/>
                        <wps:cNvCnPr/>
                        <wps:spPr>
                          <a:xfrm>
                            <a:off x="4860" y="4248"/>
                            <a:ext cx="0" cy="936"/>
                          </a:xfrm>
                          <a:prstGeom prst="line">
                            <a:avLst/>
                          </a:prstGeom>
                          <a:ln w="9525" cap="flat" cmpd="sng">
                            <a:solidFill>
                              <a:srgbClr val="000000"/>
                            </a:solidFill>
                            <a:prstDash val="solid"/>
                            <a:headEnd type="none" w="med" len="med"/>
                            <a:tailEnd type="none" w="med" len="med"/>
                          </a:ln>
                        </wps:spPr>
                        <wps:bodyPr upright="1"/>
                      </wps:wsp>
                      <wps:wsp>
                        <wps:cNvPr id="60" name="直线 168"/>
                        <wps:cNvCnPr/>
                        <wps:spPr>
                          <a:xfrm>
                            <a:off x="4500" y="4716"/>
                            <a:ext cx="360" cy="0"/>
                          </a:xfrm>
                          <a:prstGeom prst="line">
                            <a:avLst/>
                          </a:prstGeom>
                          <a:ln w="9525" cap="flat" cmpd="sng">
                            <a:solidFill>
                              <a:srgbClr val="000000"/>
                            </a:solidFill>
                            <a:prstDash val="solid"/>
                            <a:headEnd type="none" w="med" len="med"/>
                            <a:tailEnd type="none" w="med" len="med"/>
                          </a:ln>
                        </wps:spPr>
                        <wps:bodyPr upright="1"/>
                      </wps:wsp>
                      <wps:wsp>
                        <wps:cNvPr id="61" name="直线 169"/>
                        <wps:cNvCnPr/>
                        <wps:spPr>
                          <a:xfrm>
                            <a:off x="4860" y="2376"/>
                            <a:ext cx="360" cy="0"/>
                          </a:xfrm>
                          <a:prstGeom prst="line">
                            <a:avLst/>
                          </a:prstGeom>
                          <a:ln w="9525" cap="flat" cmpd="sng">
                            <a:solidFill>
                              <a:srgbClr val="000000"/>
                            </a:solidFill>
                            <a:prstDash val="solid"/>
                            <a:headEnd type="none" w="med" len="med"/>
                            <a:tailEnd type="none" w="med" len="med"/>
                          </a:ln>
                        </wps:spPr>
                        <wps:bodyPr upright="1"/>
                      </wps:wsp>
                      <wps:wsp>
                        <wps:cNvPr id="62" name="直线 170"/>
                        <wps:cNvCnPr/>
                        <wps:spPr>
                          <a:xfrm flipH="1">
                            <a:off x="4860" y="3156"/>
                            <a:ext cx="360" cy="0"/>
                          </a:xfrm>
                          <a:prstGeom prst="line">
                            <a:avLst/>
                          </a:prstGeom>
                          <a:ln w="9525" cap="flat" cmpd="sng">
                            <a:solidFill>
                              <a:srgbClr val="000000"/>
                            </a:solidFill>
                            <a:prstDash val="solid"/>
                            <a:headEnd type="none" w="med" len="med"/>
                            <a:tailEnd type="none" w="med" len="med"/>
                          </a:ln>
                        </wps:spPr>
                        <wps:bodyPr upright="1"/>
                      </wps:wsp>
                      <wps:wsp>
                        <wps:cNvPr id="63" name="直线 171"/>
                        <wps:cNvCnPr/>
                        <wps:spPr>
                          <a:xfrm>
                            <a:off x="4860" y="2376"/>
                            <a:ext cx="0" cy="780"/>
                          </a:xfrm>
                          <a:prstGeom prst="line">
                            <a:avLst/>
                          </a:prstGeom>
                          <a:ln w="9525" cap="flat" cmpd="sng">
                            <a:solidFill>
                              <a:srgbClr val="000000"/>
                            </a:solidFill>
                            <a:prstDash val="solid"/>
                            <a:headEnd type="none" w="med" len="med"/>
                            <a:tailEnd type="none" w="med" len="med"/>
                          </a:ln>
                        </wps:spPr>
                        <wps:bodyPr upright="1"/>
                      </wps:wsp>
                      <wps:wsp>
                        <wps:cNvPr id="64" name="直线 172"/>
                        <wps:cNvCnPr/>
                        <wps:spPr>
                          <a:xfrm>
                            <a:off x="4500" y="2844"/>
                            <a:ext cx="360" cy="0"/>
                          </a:xfrm>
                          <a:prstGeom prst="line">
                            <a:avLst/>
                          </a:prstGeom>
                          <a:ln w="9525" cap="flat" cmpd="sng">
                            <a:solidFill>
                              <a:srgbClr val="000000"/>
                            </a:solidFill>
                            <a:prstDash val="solid"/>
                            <a:headEnd type="none" w="med" len="med"/>
                            <a:tailEnd type="none" w="med" len="med"/>
                          </a:ln>
                        </wps:spPr>
                        <wps:bodyPr upright="1"/>
                      </wps:wsp>
                      <wps:wsp>
                        <wps:cNvPr id="65" name="直线 173"/>
                        <wps:cNvCnPr/>
                        <wps:spPr>
                          <a:xfrm>
                            <a:off x="7020" y="2376"/>
                            <a:ext cx="540" cy="0"/>
                          </a:xfrm>
                          <a:prstGeom prst="line">
                            <a:avLst/>
                          </a:prstGeom>
                          <a:ln w="9525" cap="flat" cmpd="sng">
                            <a:solidFill>
                              <a:srgbClr val="000000"/>
                            </a:solidFill>
                            <a:prstDash val="solid"/>
                            <a:headEnd type="none" w="med" len="med"/>
                            <a:tailEnd type="none" w="med" len="med"/>
                          </a:ln>
                        </wps:spPr>
                        <wps:bodyPr upright="1"/>
                      </wps:wsp>
                      <wps:wsp>
                        <wps:cNvPr id="66" name="直线 174"/>
                        <wps:cNvCnPr/>
                        <wps:spPr>
                          <a:xfrm>
                            <a:off x="7020" y="3312"/>
                            <a:ext cx="540" cy="0"/>
                          </a:xfrm>
                          <a:prstGeom prst="line">
                            <a:avLst/>
                          </a:prstGeom>
                          <a:ln w="9525" cap="flat" cmpd="sng">
                            <a:solidFill>
                              <a:srgbClr val="000000"/>
                            </a:solidFill>
                            <a:prstDash val="solid"/>
                            <a:headEnd type="none" w="med" len="med"/>
                            <a:tailEnd type="none" w="med" len="med"/>
                          </a:ln>
                        </wps:spPr>
                        <wps:bodyPr upright="1"/>
                      </wps:wsp>
                      <wps:wsp>
                        <wps:cNvPr id="67" name="直线 175"/>
                        <wps:cNvCnPr/>
                        <wps:spPr>
                          <a:xfrm>
                            <a:off x="7020" y="4092"/>
                            <a:ext cx="540" cy="0"/>
                          </a:xfrm>
                          <a:prstGeom prst="line">
                            <a:avLst/>
                          </a:prstGeom>
                          <a:ln w="9525" cap="flat" cmpd="sng">
                            <a:solidFill>
                              <a:srgbClr val="000000"/>
                            </a:solidFill>
                            <a:prstDash val="solid"/>
                            <a:headEnd type="none" w="med" len="med"/>
                            <a:tailEnd type="none" w="med" len="med"/>
                          </a:ln>
                        </wps:spPr>
                        <wps:bodyPr upright="1"/>
                      </wps:wsp>
                      <wps:wsp>
                        <wps:cNvPr id="68" name="直线 176"/>
                        <wps:cNvCnPr/>
                        <wps:spPr>
                          <a:xfrm>
                            <a:off x="7020" y="5184"/>
                            <a:ext cx="540" cy="0"/>
                          </a:xfrm>
                          <a:prstGeom prst="line">
                            <a:avLst/>
                          </a:prstGeom>
                          <a:ln w="9525" cap="flat" cmpd="sng">
                            <a:solidFill>
                              <a:srgbClr val="000000"/>
                            </a:solidFill>
                            <a:prstDash val="solid"/>
                            <a:headEnd type="none" w="med" len="med"/>
                            <a:tailEnd type="none" w="med" len="med"/>
                          </a:ln>
                        </wps:spPr>
                        <wps:bodyPr upright="1"/>
                      </wps:wsp>
                      <wps:wsp>
                        <wps:cNvPr id="69" name="直线 177"/>
                        <wps:cNvCnPr/>
                        <wps:spPr>
                          <a:xfrm>
                            <a:off x="7020" y="5964"/>
                            <a:ext cx="540" cy="0"/>
                          </a:xfrm>
                          <a:prstGeom prst="line">
                            <a:avLst/>
                          </a:prstGeom>
                          <a:ln w="9525" cap="flat" cmpd="sng">
                            <a:solidFill>
                              <a:srgbClr val="000000"/>
                            </a:solidFill>
                            <a:prstDash val="solid"/>
                            <a:headEnd type="none" w="med" len="med"/>
                            <a:tailEnd type="none" w="med" len="med"/>
                          </a:ln>
                        </wps:spPr>
                        <wps:bodyPr upright="1"/>
                      </wps:wsp>
                      <wps:wsp>
                        <wps:cNvPr id="70" name="直线 178"/>
                        <wps:cNvCnPr/>
                        <wps:spPr>
                          <a:xfrm>
                            <a:off x="7020" y="6900"/>
                            <a:ext cx="540"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140" o:spid="_x0000_s1026" o:spt="203" style="position:absolute;left:0pt;margin-left:0pt;margin-top:18.5pt;height:249.6pt;width:441pt;mso-wrap-distance-bottom:0pt;mso-wrap-distance-top:0pt;z-index:251665408;mso-width-relative:page;mso-height-relative:page;" coordorigin="1620,2220" coordsize="8820,4992" o:gfxdata="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">
                <o:lock v:ext="edit" aspectratio="f"/>
                <v:rect id="矩形 141" o:spid="_x0000_s1026" o:spt="1" style="position:absolute;left:1620;top:3624;height:2028;width:540;" fillcolor="#FFFFFF" filled="t" stroked="t" coordsize="21600,21600" o:gfxdata="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73I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p>
                      <w:p>
                        <w:pPr>
                          <w:jc w:val="center"/>
                          <w:rPr>
                            <w:rFonts w:hint="eastAsia" w:eastAsia="仿宋_GB2312"/>
                            <w:color w:val="000000"/>
                            <w:sz w:val="24"/>
                          </w:rPr>
                        </w:pPr>
                        <w:r>
                          <w:rPr>
                            <w:rFonts w:hint="eastAsia" w:eastAsia="仿宋_GB2312"/>
                            <w:color w:val="000000"/>
                            <w:sz w:val="24"/>
                          </w:rPr>
                          <w:t>施工人员</w:t>
                        </w:r>
                      </w:p>
                    </w:txbxContent>
                  </v:textbox>
                </v:rect>
                <v:rect id="矩形 142" o:spid="_x0000_s1026" o:spt="1" style="position:absolute;left:3060;top:2532;height:468;width:1440;" fillcolor="#FFFFFF" filled="t" stroked="t" coordsize="21600,21600" o:gfxdata="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EkT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施工工长</w:t>
                        </w:r>
                      </w:p>
                    </w:txbxContent>
                  </v:textbox>
                </v:rect>
                <v:rect id="矩形 143" o:spid="_x0000_s1026" o:spt="1" style="position:absolute;left:3060;top:4404;height:468;width:1440;" fillcolor="#FFFFFF" filled="t" stroked="t" coordsize="21600,21600" o:gfxdata="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e4Wm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施工工人</w:t>
                        </w:r>
                      </w:p>
                    </w:txbxContent>
                  </v:textbox>
                </v:rect>
                <v:rect id="矩形 144" o:spid="_x0000_s1026" o:spt="1" style="position:absolute;left:3060;top:6276;height:468;width:1440;" fillcolor="#FFFFFF" filled="t" stroked="t" coordsize="21600,21600" o:gfxdata="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H8e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质检人员</w:t>
                        </w:r>
                      </w:p>
                    </w:txbxContent>
                  </v:textbox>
                </v:rect>
                <v:rect id="矩形 145" o:spid="_x0000_s1026" o:spt="1" style="position:absolute;left:5220;top:2220;height:468;width:1800;" fillcolor="#FFFFFF" filled="t" stroked="t" coordsize="21600,21600" o:gfxdata="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A2oW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无进度措施</w:t>
                        </w:r>
                      </w:p>
                    </w:txbxContent>
                  </v:textbox>
                </v:rect>
                <v:rect id="矩形 146" o:spid="_x0000_s1026" o:spt="1" style="position:absolute;left:7560;top:2220;height:468;width:2880;" fillcolor="#FFFFFF" filled="t" stroked="t" coordsize="21600,21600" o:gfxdata="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F9O9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施工前编制组织设计</w:t>
                        </w:r>
                      </w:p>
                    </w:txbxContent>
                  </v:textbox>
                </v:rect>
                <v:rect id="矩形 147" o:spid="_x0000_s1026" o:spt="1" style="position:absolute;left:5220;top:3000;height:468;width:1800;" fillcolor="#FFFFFF" filled="t" stroked="t" coordsize="21600,21600" o:gfxdata="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ts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eastAsia" w:eastAsia="仿宋_GB2312"/>
                            <w:color w:val="000000"/>
                            <w:sz w:val="24"/>
                          </w:rPr>
                        </w:pPr>
                        <w:r>
                          <w:rPr>
                            <w:rFonts w:hint="eastAsia" w:eastAsia="仿宋_GB2312"/>
                            <w:color w:val="000000"/>
                            <w:sz w:val="24"/>
                          </w:rPr>
                          <w:t>重进度轻质量</w:t>
                        </w:r>
                      </w:p>
                    </w:txbxContent>
                  </v:textbox>
                </v:rect>
                <v:rect id="矩形 148" o:spid="_x0000_s1026" o:spt="1" style="position:absolute;left:7560;top:3000;height:468;width:2880;" fillcolor="#FFFFFF" filled="t" stroked="t" coordsize="21600,21600" o:gfxdata="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LzGM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加强质量教育、限期改正</w:t>
                        </w:r>
                      </w:p>
                    </w:txbxContent>
                  </v:textbox>
                </v:rect>
                <v:rect id="矩形 149" o:spid="_x0000_s1026" o:spt="1" style="position:absolute;left:5220;top:3936;height:468;width:1800;" fillcolor="#FFFFFF" filled="t" stroked="t" coordsize="21600,21600" o:gfxdata="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Y5QX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eastAsia" w:eastAsia="仿宋_GB2312"/>
                            <w:color w:val="000000"/>
                            <w:sz w:val="24"/>
                          </w:rPr>
                        </w:pPr>
                        <w:r>
                          <w:rPr>
                            <w:rFonts w:hint="eastAsia" w:eastAsia="仿宋_GB2312"/>
                            <w:color w:val="000000"/>
                            <w:sz w:val="24"/>
                          </w:rPr>
                          <w:t>操作不规范</w:t>
                        </w:r>
                      </w:p>
                      <w:p>
                        <w:pPr>
                          <w:rPr>
                            <w:rFonts w:hint="eastAsia" w:eastAsia="仿宋_GB2312"/>
                            <w:color w:val="000000"/>
                            <w:sz w:val="24"/>
                          </w:rPr>
                        </w:pPr>
                      </w:p>
                    </w:txbxContent>
                  </v:textbox>
                </v:rect>
                <v:rect id="矩形 150" o:spid="_x0000_s1026" o:spt="1" style="position:absolute;left:5220;top:4872;height:468;width:1800;" fillcolor="#FFFFFF" filled="t" stroked="t" coordsize="21600,21600" o:gfxdata="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sQpg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eastAsia" w:eastAsia="仿宋_GB2312"/>
                            <w:color w:val="000000"/>
                            <w:sz w:val="24"/>
                          </w:rPr>
                        </w:pPr>
                        <w:r>
                          <w:rPr>
                            <w:rFonts w:hint="eastAsia" w:eastAsia="仿宋_GB2312"/>
                            <w:color w:val="000000"/>
                            <w:sz w:val="24"/>
                          </w:rPr>
                          <w:t>自检不认真</w:t>
                        </w:r>
                      </w:p>
                    </w:txbxContent>
                  </v:textbox>
                </v:rect>
                <v:rect id="矩形 151" o:spid="_x0000_s1026" o:spt="1" style="position:absolute;left:7560;top:3936;height:468;width:2880;" fillcolor="#FFFFFF" filled="t" stroked="t" coordsize="21600,21600" o:gfxdata="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a/7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kern w:val="0"/>
                            <w:sz w:val="24"/>
                          </w:rPr>
                        </w:pPr>
                        <w:r>
                          <w:rPr>
                            <w:rFonts w:hint="eastAsia" w:eastAsia="仿宋_GB2312"/>
                            <w:color w:val="000000"/>
                            <w:kern w:val="0"/>
                            <w:sz w:val="24"/>
                          </w:rPr>
                          <w:t>加强教育、不合格不交工</w:t>
                        </w:r>
                      </w:p>
                    </w:txbxContent>
                  </v:textbox>
                </v:rect>
                <v:rect id="矩形 152" o:spid="_x0000_s1026" o:spt="1" style="position:absolute;left:7560;top:4872;height:468;width:2880;" fillcolor="#FFFFFF" filled="t" stroked="t" coordsize="21600,21600" o:gfxdata="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RQ3j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pacing w:val="-20"/>
                            <w:sz w:val="24"/>
                          </w:rPr>
                          <w:t>实施自检责任制并进行</w:t>
                        </w:r>
                        <w:r>
                          <w:rPr>
                            <w:rFonts w:hint="eastAsia" w:eastAsia="仿宋_GB2312"/>
                            <w:color w:val="000000"/>
                            <w:sz w:val="24"/>
                          </w:rPr>
                          <w:t>奖惩</w:t>
                        </w:r>
                      </w:p>
                    </w:txbxContent>
                  </v:textbox>
                </v:rect>
                <v:rect id="矩形 153" o:spid="_x0000_s1026" o:spt="1" style="position:absolute;left:5220;top:5808;height:468;width:1800;" fillcolor="#FFFFFF" filled="t" stroked="t" coordsize="21600,21600" o:gfxdata="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WJI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eastAsia" w:eastAsia="仿宋_GB2312"/>
                            <w:color w:val="000000"/>
                            <w:sz w:val="24"/>
                          </w:rPr>
                        </w:pPr>
                        <w:r>
                          <w:rPr>
                            <w:rFonts w:hint="eastAsia" w:eastAsia="仿宋_GB2312"/>
                            <w:color w:val="000000"/>
                            <w:sz w:val="24"/>
                          </w:rPr>
                          <w:t>技术交底不清</w:t>
                        </w:r>
                      </w:p>
                    </w:txbxContent>
                  </v:textbox>
                </v:rect>
                <v:rect id="矩形 154" o:spid="_x0000_s1026" o:spt="1" style="position:absolute;left:5220;top:6744;height:468;width:1800;" fillcolor="#FFFFFF" filled="t" stroked="t" coordsize="21600,21600" o:gfxdata="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aKDG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eastAsia" w:eastAsia="仿宋_GB2312"/>
                            <w:color w:val="000000"/>
                            <w:sz w:val="24"/>
                          </w:rPr>
                        </w:pPr>
                        <w:r>
                          <w:rPr>
                            <w:rFonts w:hint="eastAsia" w:eastAsia="仿宋_GB2312"/>
                            <w:color w:val="000000"/>
                            <w:sz w:val="24"/>
                          </w:rPr>
                          <w:t>专检不认真</w:t>
                        </w:r>
                      </w:p>
                    </w:txbxContent>
                  </v:textbox>
                </v:rect>
                <v:rect id="矩形 155" o:spid="_x0000_s1026" o:spt="1" style="position:absolute;left:7560;top:5808;height:468;width:2880;" fillcolor="#FFFFFF" filled="t" stroked="t" coordsize="21600,21600" o:gfxdata="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xqn4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pacing w:val="-20"/>
                            <w:sz w:val="24"/>
                          </w:rPr>
                          <w:t>不定期检查技术交底效</w:t>
                        </w:r>
                        <w:r>
                          <w:rPr>
                            <w:rFonts w:hint="eastAsia" w:eastAsia="仿宋_GB2312"/>
                            <w:color w:val="000000"/>
                            <w:sz w:val="24"/>
                          </w:rPr>
                          <w:t>果</w:t>
                        </w:r>
                      </w:p>
                    </w:txbxContent>
                  </v:textbox>
                </v:rect>
                <v:rect id="矩形 156" o:spid="_x0000_s1026" o:spt="1" style="position:absolute;left:7560;top:6588;height:468;width:2880;" fillcolor="#FFFFFF" filled="t" stroked="t" coordsize="21600,21600" o:gfxdata="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WT2K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pacing w:val="-20"/>
                            <w:sz w:val="24"/>
                          </w:rPr>
                          <w:t>实施专检责任制并进行</w:t>
                        </w:r>
                        <w:r>
                          <w:rPr>
                            <w:rFonts w:hint="eastAsia" w:eastAsia="仿宋_GB2312"/>
                            <w:color w:val="000000"/>
                            <w:sz w:val="24"/>
                          </w:rPr>
                          <w:t>奖惩</w:t>
                        </w:r>
                      </w:p>
                    </w:txbxContent>
                  </v:textbox>
                </v:rect>
                <v:line id="直线 157" o:spid="_x0000_s1026" o:spt="20" style="position:absolute;left:2160;top:4560;height:0;width:900;" filled="f" stroked="t" coordsize="21600,21600" o:gfxdata="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1Vii/&#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158" o:spid="_x0000_s1026" o:spt="20" style="position:absolute;left:2700;top:2688;height:0;width:360;" filled="f" stroked="t" coordsize="21600,21600" o:gfxdata="UEsDBAoAAAAAAIdO4kAAAAAAAAAAAAAAAAAEAAAAZHJzL1BLAwQUAAAACACHTuJAsVZpaLoAAADb&#10;AAAADwAAAGRycy9kb3ducmV2LnhtbEVPy4rCMBTdC/5DuIIb0UQHRa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Vmlo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59" o:spid="_x0000_s1026" o:spt="20" style="position:absolute;left:2700;top:6432;flip:x;height:0;width:360;" filled="f" stroked="t" coordsize="21600,21600" o:gfxdata="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FPL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60" o:spid="_x0000_s1026" o:spt="20" style="position:absolute;left:2700;top:2688;height:3744;width:0;" filled="f" stroked="t" coordsize="21600,21600" o:gfxdata="UEsDBAoAAAAAAIdO4kAAAAAAAAAAAAAAAAAEAAAAZHJzL1BLAwQUAAAACACHTuJALshShL0AAADb&#10;AAAADwAAAGRycy9kb3ducmV2LnhtbEWPzYvCMBTE7wv+D+EJexFN7LI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yFK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61" o:spid="_x0000_s1026" o:spt="20" style="position:absolute;left:4860;top:6120;height:0;width:360;" filled="f" stroked="t" coordsize="21600,21600" o:gfxdata="UEsDBAoAAAAAAIdO4kAAAAAAAAAAAAAAAAAEAAAAZHJzL1BLAwQUAAAACACHTuJAQYT3H74AAADb&#10;AAAADwAAAGRycy9kb3ducmV2LnhtbEWPQWvCQBSE74L/YXlCL2J2TbC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T3H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62" o:spid="_x0000_s1026" o:spt="20" style="position:absolute;left:4860;top:6120;height:936;width:0;" filled="f" stroked="t" coordsize="21600,21600" o:gfxdata="UEsDBAoAAAAAAIdO4kAAAAAAAAAAAAAAAAAEAAAAZHJzL1BLAwQUAAAACACHTuJAzm1va7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rm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5tb2u/&#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163" o:spid="_x0000_s1026" o:spt="20" style="position:absolute;left:4860;top:7056;height:0;width:360;" filled="f" stroked="t" coordsize="21600,21600" o:gfxdata="UEsDBAoAAAAAAIdO4kAAAAAAAAAAAAAAAAAEAAAAZHJzL1BLAwQUAAAACACHTuJAoSHK8L4AAADb&#10;AAAADwAAAGRycy9kb3ducmV2LnhtbEWPQWvCQBSE74L/YXlCL2J2jaS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HK8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64" o:spid="_x0000_s1026" o:spt="20" style="position:absolute;left:4500;top:6432;height:0;width:360;" filled="f" stroked="t" coordsize="21600,21600" o:gfxdata="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zVI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65" o:spid="_x0000_s1026" o:spt="20" style="position:absolute;left:4860;top:4248;height:0;width:360;" filled="f" stroked="t" coordsize="21600,21600" o:gfxdata="UEsDBAoAAAAAAIdO4kAAAAAAAAAAAAAAAAAEAAAAZHJzL1BLAwQUAAAACACHTuJAPr/xHL8AAADb&#10;AAAADwAAAGRycy9kb3ducmV2LnhtbEWPS2vDMBCE74X8B7GBXkIi2aV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6/8Ry/&#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166" o:spid="_x0000_s1026" o:spt="20" style="position:absolute;left:4860;top:5184;height:0;width:360;" filled="f" stroked="t" coordsize="21600,21600" o:gfxdata="UEsDBAoAAAAAAIdO4kAAAAAAAAAAAAAAAAAEAAAAZHJzL1BLAwQUAAAACACHTuJATyBlbroAAADb&#10;AAAADwAAAGRycy9kb3ducmV2LnhtbEVPy4rCMBTdC/5DuIIb0UQHRa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IGVu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67" o:spid="_x0000_s1026" o:spt="20" style="position:absolute;left:4860;top:4248;height:936;width:0;" filled="f" stroked="t" coordsize="21600,21600" o:gfxdata="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BswPW/&#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168" o:spid="_x0000_s1026" o:spt="20" style="position:absolute;left:4500;top:4716;height:0;width:360;" filled="f" stroked="t" coordsize="21600,21600" o:gfxdata="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86o9W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169" o:spid="_x0000_s1026" o:spt="20" style="position:absolute;left:4860;top:2376;height:0;width:360;" filled="f" stroked="t" coordsize="21600,21600" o:gfxdata="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YG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70" o:spid="_x0000_s1026" o:spt="20" style="position:absolute;left:4860;top:3156;flip:x;height:0;width:360;" filled="f" stroked="t" coordsize="21600,21600" o:gfxdata="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qphO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71" o:spid="_x0000_s1026" o:spt="20" style="position:absolute;left:4860;top:2376;height:780;width:0;" filled="f" stroked="t" coordsize="21600,21600" o:gfxdata="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6D2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72" o:spid="_x0000_s1026" o:spt="20" style="position:absolute;left:4500;top:2844;height:0;width:360;" filled="f" stroked="t" coordsize="21600,21600" o:gfxdata="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Bpd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73" o:spid="_x0000_s1026" o:spt="20" style="position:absolute;left:7020;top:2376;height:0;width:540;" filled="f" stroked="t" coordsize="21600,21600" o:gfxdata="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NAE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74" o:spid="_x0000_s1026" o:spt="20" style="position:absolute;left:7020;top:3312;height:0;width:540;" filled="f" stroked="t" coordsize="21600,21600" o:gfxdata="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5+eOr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175" o:spid="_x0000_s1026" o:spt="20" style="position:absolute;left:7020;top:4092;height:0;width:540;" filled="f" stroked="t" coordsize="21600,21600" o:gfxdata="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NM7o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76" o:spid="_x0000_s1026" o:spt="20" style="position:absolute;left:7020;top:5184;height:0;width:540;" filled="f" stroked="t" coordsize="21600,21600" o:gfxdata="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FMr9O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177" o:spid="_x0000_s1026" o:spt="20" style="position:absolute;left:7020;top:5964;height:0;width:540;" filled="f" stroked="t" coordsize="21600,21600" o:gfxdata="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AKS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78" o:spid="_x0000_s1026" o:spt="20" style="position:absolute;left:7020;top:6900;height:0;width:540;" filled="f" stroked="t" coordsize="21600,21600" o:gfxdata="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4zUI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w10:wrap type="topAndBottom"/>
              </v:group>
            </w:pict>
          </mc:Fallback>
        </mc:AlternateContent>
      </w:r>
    </w:p>
    <w:p>
      <w:pPr>
        <w:spacing w:line="360" w:lineRule="auto"/>
        <w:ind w:firstLine="482" w:firstLineChars="200"/>
        <w:jc w:val="center"/>
        <w:rPr>
          <w:rFonts w:hint="eastAsia" w:ascii="宋体" w:hAnsi="宋体" w:cs="Arial"/>
          <w:b/>
          <w:bCs/>
          <w:color w:val="000000"/>
          <w:sz w:val="24"/>
        </w:rPr>
      </w:pPr>
      <w:r>
        <w:rPr>
          <w:rFonts w:hint="eastAsia" w:ascii="宋体" w:hAnsi="宋体" w:cs="Arial"/>
          <w:b/>
          <w:bCs/>
          <w:color w:val="000000"/>
          <w:sz w:val="24"/>
        </w:rPr>
        <mc:AlternateContent>
          <mc:Choice Requires="wpg">
            <w:drawing>
              <wp:anchor distT="0" distB="0" distL="114300" distR="114300" simplePos="0" relativeHeight="251660288" behindDoc="0" locked="0" layoutInCell="1" allowOverlap="1">
                <wp:simplePos x="0" y="0"/>
                <wp:positionH relativeFrom="column">
                  <wp:posOffset>-31750</wp:posOffset>
                </wp:positionH>
                <wp:positionV relativeFrom="paragraph">
                  <wp:posOffset>521970</wp:posOffset>
                </wp:positionV>
                <wp:extent cx="5715000" cy="2179320"/>
                <wp:effectExtent l="4445" t="4445" r="8255" b="13335"/>
                <wp:wrapTopAndBottom/>
                <wp:docPr id="103" name="组合 179"/>
                <wp:cNvGraphicFramePr/>
                <a:graphic xmlns:a="http://schemas.openxmlformats.org/drawingml/2006/main">
                  <a:graphicData uri="http://schemas.microsoft.com/office/word/2010/wordprocessingGroup">
                    <wpg:wgp>
                      <wpg:cNvGrpSpPr/>
                      <wpg:grpSpPr>
                        <a:xfrm>
                          <a:off x="0" y="0"/>
                          <a:ext cx="5715000" cy="2179320"/>
                          <a:chOff x="1440" y="7680"/>
                          <a:chExt cx="9000" cy="3432"/>
                        </a:xfrm>
                      </wpg:grpSpPr>
                      <wps:wsp>
                        <wps:cNvPr id="72" name="矩形 180"/>
                        <wps:cNvSpPr/>
                        <wps:spPr>
                          <a:xfrm>
                            <a:off x="1440" y="7680"/>
                            <a:ext cx="540" cy="32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p>
                            <w:p>
                              <w:pPr>
                                <w:jc w:val="center"/>
                                <w:rPr>
                                  <w:rFonts w:hint="eastAsia" w:eastAsia="仿宋_GB2312"/>
                                  <w:color w:val="000000"/>
                                  <w:sz w:val="24"/>
                                </w:rPr>
                              </w:pPr>
                              <w:r>
                                <w:rPr>
                                  <w:rFonts w:hint="eastAsia" w:eastAsia="仿宋_GB2312"/>
                                  <w:color w:val="000000"/>
                                  <w:sz w:val="24"/>
                                </w:rPr>
                                <w:t>材料设备及施工</w:t>
                              </w:r>
                            </w:p>
                          </w:txbxContent>
                        </wps:txbx>
                        <wps:bodyPr wrap="square" upright="1"/>
                      </wps:wsp>
                      <wps:wsp>
                        <wps:cNvPr id="73" name="矩形 181"/>
                        <wps:cNvSpPr/>
                        <wps:spPr>
                          <a:xfrm>
                            <a:off x="2700" y="7680"/>
                            <a:ext cx="14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管道线槽</w:t>
                              </w:r>
                            </w:p>
                          </w:txbxContent>
                        </wps:txbx>
                        <wps:bodyPr wrap="square" upright="1"/>
                      </wps:wsp>
                      <wps:wsp>
                        <wps:cNvPr id="74" name="矩形 182"/>
                        <wps:cNvSpPr/>
                        <wps:spPr>
                          <a:xfrm>
                            <a:off x="2700" y="8616"/>
                            <a:ext cx="14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接地材料</w:t>
                              </w:r>
                            </w:p>
                          </w:txbxContent>
                        </wps:txbx>
                        <wps:bodyPr wrap="square" upright="1"/>
                      </wps:wsp>
                      <wps:wsp>
                        <wps:cNvPr id="75" name="矩形 183"/>
                        <wps:cNvSpPr/>
                        <wps:spPr>
                          <a:xfrm>
                            <a:off x="2700" y="10176"/>
                            <a:ext cx="14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设备</w:t>
                              </w:r>
                            </w:p>
                          </w:txbxContent>
                        </wps:txbx>
                        <wps:bodyPr wrap="square" upright="1"/>
                      </wps:wsp>
                      <wps:wsp>
                        <wps:cNvPr id="76" name="矩形 184"/>
                        <wps:cNvSpPr/>
                        <wps:spPr>
                          <a:xfrm>
                            <a:off x="4860" y="7680"/>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材质、规格不合格</w:t>
                              </w:r>
                            </w:p>
                          </w:txbxContent>
                        </wps:txbx>
                        <wps:bodyPr wrap="square" upright="1"/>
                      </wps:wsp>
                      <wps:wsp>
                        <wps:cNvPr id="77" name="矩形 185"/>
                        <wps:cNvSpPr/>
                        <wps:spPr>
                          <a:xfrm>
                            <a:off x="4860" y="8616"/>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安装要求不合格</w:t>
                              </w:r>
                            </w:p>
                          </w:txbxContent>
                        </wps:txbx>
                        <wps:bodyPr wrap="square" upright="1"/>
                      </wps:wsp>
                      <wps:wsp>
                        <wps:cNvPr id="78" name="矩形 186"/>
                        <wps:cNvSpPr/>
                        <wps:spPr>
                          <a:xfrm>
                            <a:off x="7380" y="7680"/>
                            <a:ext cx="2880" cy="140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eastAsia="仿宋_GB2312"/>
                                  <w:color w:val="000000"/>
                                  <w:sz w:val="24"/>
                                </w:rPr>
                              </w:pPr>
                              <w:r>
                                <w:rPr>
                                  <w:rFonts w:hint="eastAsia" w:ascii="仿宋_GB2312" w:eastAsia="仿宋_GB2312"/>
                                  <w:color w:val="000000"/>
                                  <w:sz w:val="24"/>
                                </w:rPr>
                                <w:t>材料及施工验收制度，不合格不通过，直到更换合格产品及按规范操作</w:t>
                              </w:r>
                            </w:p>
                          </w:txbxContent>
                        </wps:txbx>
                        <wps:bodyPr wrap="square" upright="1"/>
                      </wps:wsp>
                      <wps:wsp>
                        <wps:cNvPr id="79" name="直线 187"/>
                        <wps:cNvCnPr/>
                        <wps:spPr>
                          <a:xfrm>
                            <a:off x="4140" y="7992"/>
                            <a:ext cx="720" cy="780"/>
                          </a:xfrm>
                          <a:prstGeom prst="line">
                            <a:avLst/>
                          </a:prstGeom>
                          <a:ln w="9525" cap="flat" cmpd="sng">
                            <a:solidFill>
                              <a:srgbClr val="000000"/>
                            </a:solidFill>
                            <a:prstDash val="solid"/>
                            <a:headEnd type="none" w="med" len="med"/>
                            <a:tailEnd type="none" w="med" len="med"/>
                          </a:ln>
                        </wps:spPr>
                        <wps:bodyPr upright="1"/>
                      </wps:wsp>
                      <wps:wsp>
                        <wps:cNvPr id="80" name="直线 188"/>
                        <wps:cNvCnPr/>
                        <wps:spPr>
                          <a:xfrm flipH="1">
                            <a:off x="4140" y="7992"/>
                            <a:ext cx="720" cy="780"/>
                          </a:xfrm>
                          <a:prstGeom prst="line">
                            <a:avLst/>
                          </a:prstGeom>
                          <a:ln w="9525" cap="flat" cmpd="sng">
                            <a:solidFill>
                              <a:srgbClr val="000000"/>
                            </a:solidFill>
                            <a:prstDash val="solid"/>
                            <a:headEnd type="none" w="med" len="med"/>
                            <a:tailEnd type="none" w="med" len="med"/>
                          </a:ln>
                        </wps:spPr>
                        <wps:bodyPr upright="1"/>
                      </wps:wsp>
                      <wps:wsp>
                        <wps:cNvPr id="81" name="直线 189"/>
                        <wps:cNvCnPr/>
                        <wps:spPr>
                          <a:xfrm>
                            <a:off x="4140" y="7836"/>
                            <a:ext cx="720" cy="0"/>
                          </a:xfrm>
                          <a:prstGeom prst="line">
                            <a:avLst/>
                          </a:prstGeom>
                          <a:ln w="9525" cap="flat" cmpd="sng">
                            <a:solidFill>
                              <a:srgbClr val="000000"/>
                            </a:solidFill>
                            <a:prstDash val="solid"/>
                            <a:headEnd type="none" w="med" len="med"/>
                            <a:tailEnd type="none" w="med" len="med"/>
                          </a:ln>
                        </wps:spPr>
                        <wps:bodyPr upright="1"/>
                      </wps:wsp>
                      <wps:wsp>
                        <wps:cNvPr id="82" name="直线 190"/>
                        <wps:cNvCnPr/>
                        <wps:spPr>
                          <a:xfrm>
                            <a:off x="4140" y="8928"/>
                            <a:ext cx="720" cy="0"/>
                          </a:xfrm>
                          <a:prstGeom prst="line">
                            <a:avLst/>
                          </a:prstGeom>
                          <a:ln w="9525" cap="flat" cmpd="sng">
                            <a:solidFill>
                              <a:srgbClr val="000000"/>
                            </a:solidFill>
                            <a:prstDash val="solid"/>
                            <a:headEnd type="none" w="med" len="med"/>
                            <a:tailEnd type="none" w="med" len="med"/>
                          </a:ln>
                        </wps:spPr>
                        <wps:bodyPr upright="1"/>
                      </wps:wsp>
                      <wps:wsp>
                        <wps:cNvPr id="83" name="直线 191"/>
                        <wps:cNvCnPr/>
                        <wps:spPr>
                          <a:xfrm>
                            <a:off x="2340" y="7836"/>
                            <a:ext cx="360" cy="0"/>
                          </a:xfrm>
                          <a:prstGeom prst="line">
                            <a:avLst/>
                          </a:prstGeom>
                          <a:ln w="9525" cap="flat" cmpd="sng">
                            <a:solidFill>
                              <a:srgbClr val="000000"/>
                            </a:solidFill>
                            <a:prstDash val="solid"/>
                            <a:headEnd type="none" w="med" len="med"/>
                            <a:tailEnd type="none" w="med" len="med"/>
                          </a:ln>
                        </wps:spPr>
                        <wps:bodyPr upright="1"/>
                      </wps:wsp>
                      <wps:wsp>
                        <wps:cNvPr id="84" name="直线 192"/>
                        <wps:cNvCnPr/>
                        <wps:spPr>
                          <a:xfrm>
                            <a:off x="2340" y="8928"/>
                            <a:ext cx="360" cy="0"/>
                          </a:xfrm>
                          <a:prstGeom prst="line">
                            <a:avLst/>
                          </a:prstGeom>
                          <a:ln w="9525" cap="flat" cmpd="sng">
                            <a:solidFill>
                              <a:srgbClr val="000000"/>
                            </a:solidFill>
                            <a:prstDash val="solid"/>
                            <a:headEnd type="none" w="med" len="med"/>
                            <a:tailEnd type="none" w="med" len="med"/>
                          </a:ln>
                        </wps:spPr>
                        <wps:bodyPr upright="1"/>
                      </wps:wsp>
                      <wps:wsp>
                        <wps:cNvPr id="85" name="直线 193"/>
                        <wps:cNvCnPr/>
                        <wps:spPr>
                          <a:xfrm>
                            <a:off x="2340" y="10332"/>
                            <a:ext cx="360" cy="0"/>
                          </a:xfrm>
                          <a:prstGeom prst="line">
                            <a:avLst/>
                          </a:prstGeom>
                          <a:ln w="9525" cap="flat" cmpd="sng">
                            <a:solidFill>
                              <a:srgbClr val="000000"/>
                            </a:solidFill>
                            <a:prstDash val="solid"/>
                            <a:headEnd type="none" w="med" len="med"/>
                            <a:tailEnd type="none" w="med" len="med"/>
                          </a:ln>
                        </wps:spPr>
                        <wps:bodyPr upright="1"/>
                      </wps:wsp>
                      <wps:wsp>
                        <wps:cNvPr id="86" name="直线 194"/>
                        <wps:cNvCnPr/>
                        <wps:spPr>
                          <a:xfrm>
                            <a:off x="2340" y="7836"/>
                            <a:ext cx="0" cy="2496"/>
                          </a:xfrm>
                          <a:prstGeom prst="line">
                            <a:avLst/>
                          </a:prstGeom>
                          <a:ln w="9525" cap="flat" cmpd="sng">
                            <a:solidFill>
                              <a:srgbClr val="000000"/>
                            </a:solidFill>
                            <a:prstDash val="solid"/>
                            <a:headEnd type="none" w="med" len="med"/>
                            <a:tailEnd type="none" w="med" len="med"/>
                          </a:ln>
                        </wps:spPr>
                        <wps:bodyPr upright="1"/>
                      </wps:wsp>
                      <wps:wsp>
                        <wps:cNvPr id="87" name="直线 195"/>
                        <wps:cNvCnPr/>
                        <wps:spPr>
                          <a:xfrm>
                            <a:off x="1980" y="8928"/>
                            <a:ext cx="360" cy="0"/>
                          </a:xfrm>
                          <a:prstGeom prst="line">
                            <a:avLst/>
                          </a:prstGeom>
                          <a:ln w="9525" cap="flat" cmpd="sng">
                            <a:solidFill>
                              <a:srgbClr val="000000"/>
                            </a:solidFill>
                            <a:prstDash val="solid"/>
                            <a:headEnd type="none" w="med" len="med"/>
                            <a:tailEnd type="none" w="med" len="med"/>
                          </a:ln>
                        </wps:spPr>
                        <wps:bodyPr upright="1"/>
                      </wps:wsp>
                      <wps:wsp>
                        <wps:cNvPr id="88" name="直线 196"/>
                        <wps:cNvCnPr/>
                        <wps:spPr>
                          <a:xfrm>
                            <a:off x="7020" y="7992"/>
                            <a:ext cx="180" cy="0"/>
                          </a:xfrm>
                          <a:prstGeom prst="line">
                            <a:avLst/>
                          </a:prstGeom>
                          <a:ln w="9525" cap="flat" cmpd="sng">
                            <a:solidFill>
                              <a:srgbClr val="000000"/>
                            </a:solidFill>
                            <a:prstDash val="solid"/>
                            <a:headEnd type="none" w="med" len="med"/>
                            <a:tailEnd type="none" w="med" len="med"/>
                          </a:ln>
                        </wps:spPr>
                        <wps:bodyPr upright="1"/>
                      </wps:wsp>
                      <wps:wsp>
                        <wps:cNvPr id="89" name="直线 197"/>
                        <wps:cNvCnPr/>
                        <wps:spPr>
                          <a:xfrm>
                            <a:off x="7020" y="8772"/>
                            <a:ext cx="180" cy="0"/>
                          </a:xfrm>
                          <a:prstGeom prst="line">
                            <a:avLst/>
                          </a:prstGeom>
                          <a:ln w="9525" cap="flat" cmpd="sng">
                            <a:solidFill>
                              <a:srgbClr val="000000"/>
                            </a:solidFill>
                            <a:prstDash val="solid"/>
                            <a:headEnd type="none" w="med" len="med"/>
                            <a:tailEnd type="none" w="med" len="med"/>
                          </a:ln>
                        </wps:spPr>
                        <wps:bodyPr upright="1"/>
                      </wps:wsp>
                      <wps:wsp>
                        <wps:cNvPr id="90" name="直线 198"/>
                        <wps:cNvCnPr/>
                        <wps:spPr>
                          <a:xfrm>
                            <a:off x="7200" y="7992"/>
                            <a:ext cx="0" cy="780"/>
                          </a:xfrm>
                          <a:prstGeom prst="line">
                            <a:avLst/>
                          </a:prstGeom>
                          <a:ln w="9525" cap="flat" cmpd="sng">
                            <a:solidFill>
                              <a:srgbClr val="000000"/>
                            </a:solidFill>
                            <a:prstDash val="solid"/>
                            <a:headEnd type="none" w="med" len="med"/>
                            <a:tailEnd type="none" w="med" len="med"/>
                          </a:ln>
                        </wps:spPr>
                        <wps:bodyPr upright="1"/>
                      </wps:wsp>
                      <wps:wsp>
                        <wps:cNvPr id="91" name="直线 199"/>
                        <wps:cNvCnPr/>
                        <wps:spPr>
                          <a:xfrm>
                            <a:off x="7200" y="8460"/>
                            <a:ext cx="180" cy="0"/>
                          </a:xfrm>
                          <a:prstGeom prst="line">
                            <a:avLst/>
                          </a:prstGeom>
                          <a:ln w="9525" cap="flat" cmpd="sng">
                            <a:solidFill>
                              <a:srgbClr val="000000"/>
                            </a:solidFill>
                            <a:prstDash val="solid"/>
                            <a:headEnd type="none" w="med" len="med"/>
                            <a:tailEnd type="none" w="med" len="med"/>
                          </a:ln>
                        </wps:spPr>
                        <wps:bodyPr upright="1"/>
                      </wps:wsp>
                      <wps:wsp>
                        <wps:cNvPr id="92" name="矩形 200"/>
                        <wps:cNvSpPr/>
                        <wps:spPr>
                          <a:xfrm>
                            <a:off x="4860" y="9864"/>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设备型号不符</w:t>
                              </w:r>
                            </w:p>
                          </w:txbxContent>
                        </wps:txbx>
                        <wps:bodyPr wrap="square" upright="1"/>
                      </wps:wsp>
                      <wps:wsp>
                        <wps:cNvPr id="93" name="矩形 201"/>
                        <wps:cNvSpPr/>
                        <wps:spPr>
                          <a:xfrm>
                            <a:off x="4860" y="10644"/>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安装要求不合格</w:t>
                              </w:r>
                            </w:p>
                          </w:txbxContent>
                        </wps:txbx>
                        <wps:bodyPr wrap="square" upright="1"/>
                      </wps:wsp>
                      <wps:wsp>
                        <wps:cNvPr id="94" name="矩形 202"/>
                        <wps:cNvSpPr/>
                        <wps:spPr>
                          <a:xfrm>
                            <a:off x="7560" y="9864"/>
                            <a:ext cx="2880" cy="124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eastAsia="仿宋_GB2312"/>
                                  <w:color w:val="000000"/>
                                  <w:sz w:val="24"/>
                                </w:rPr>
                              </w:pPr>
                              <w:r>
                                <w:rPr>
                                  <w:rFonts w:hint="eastAsia" w:ascii="仿宋_GB2312" w:eastAsia="仿宋_GB2312"/>
                                  <w:color w:val="000000"/>
                                  <w:sz w:val="24"/>
                                </w:rPr>
                                <w:t>设备及施工验收制度，不合格不通过，直到更换合格产品及按规范操作</w:t>
                              </w:r>
                            </w:p>
                          </w:txbxContent>
                        </wps:txbx>
                        <wps:bodyPr wrap="square" upright="1"/>
                      </wps:wsp>
                      <wps:wsp>
                        <wps:cNvPr id="95" name="直线 203"/>
                        <wps:cNvCnPr/>
                        <wps:spPr>
                          <a:xfrm>
                            <a:off x="4500" y="10020"/>
                            <a:ext cx="360" cy="0"/>
                          </a:xfrm>
                          <a:prstGeom prst="line">
                            <a:avLst/>
                          </a:prstGeom>
                          <a:ln w="9525" cap="flat" cmpd="sng">
                            <a:solidFill>
                              <a:srgbClr val="000000"/>
                            </a:solidFill>
                            <a:prstDash val="solid"/>
                            <a:headEnd type="none" w="med" len="med"/>
                            <a:tailEnd type="none" w="med" len="med"/>
                          </a:ln>
                        </wps:spPr>
                        <wps:bodyPr upright="1"/>
                      </wps:wsp>
                      <wps:wsp>
                        <wps:cNvPr id="96" name="直线 204"/>
                        <wps:cNvCnPr/>
                        <wps:spPr>
                          <a:xfrm>
                            <a:off x="4500" y="10800"/>
                            <a:ext cx="360" cy="0"/>
                          </a:xfrm>
                          <a:prstGeom prst="line">
                            <a:avLst/>
                          </a:prstGeom>
                          <a:ln w="9525" cap="flat" cmpd="sng">
                            <a:solidFill>
                              <a:srgbClr val="000000"/>
                            </a:solidFill>
                            <a:prstDash val="solid"/>
                            <a:headEnd type="none" w="med" len="med"/>
                            <a:tailEnd type="none" w="med" len="med"/>
                          </a:ln>
                        </wps:spPr>
                        <wps:bodyPr upright="1"/>
                      </wps:wsp>
                      <wps:wsp>
                        <wps:cNvPr id="97" name="直线 205"/>
                        <wps:cNvCnPr/>
                        <wps:spPr>
                          <a:xfrm>
                            <a:off x="4500" y="10020"/>
                            <a:ext cx="0" cy="780"/>
                          </a:xfrm>
                          <a:prstGeom prst="line">
                            <a:avLst/>
                          </a:prstGeom>
                          <a:ln w="9525" cap="flat" cmpd="sng">
                            <a:solidFill>
                              <a:srgbClr val="000000"/>
                            </a:solidFill>
                            <a:prstDash val="solid"/>
                            <a:headEnd type="none" w="med" len="med"/>
                            <a:tailEnd type="none" w="med" len="med"/>
                          </a:ln>
                        </wps:spPr>
                        <wps:bodyPr upright="1"/>
                      </wps:wsp>
                      <wps:wsp>
                        <wps:cNvPr id="98" name="直线 206"/>
                        <wps:cNvCnPr/>
                        <wps:spPr>
                          <a:xfrm>
                            <a:off x="7020" y="10176"/>
                            <a:ext cx="180" cy="0"/>
                          </a:xfrm>
                          <a:prstGeom prst="line">
                            <a:avLst/>
                          </a:prstGeom>
                          <a:ln w="9525" cap="flat" cmpd="sng">
                            <a:solidFill>
                              <a:srgbClr val="000000"/>
                            </a:solidFill>
                            <a:prstDash val="solid"/>
                            <a:headEnd type="none" w="med" len="med"/>
                            <a:tailEnd type="none" w="med" len="med"/>
                          </a:ln>
                        </wps:spPr>
                        <wps:bodyPr upright="1"/>
                      </wps:wsp>
                      <wps:wsp>
                        <wps:cNvPr id="99" name="直线 207"/>
                        <wps:cNvCnPr/>
                        <wps:spPr>
                          <a:xfrm>
                            <a:off x="7200" y="10176"/>
                            <a:ext cx="0" cy="780"/>
                          </a:xfrm>
                          <a:prstGeom prst="line">
                            <a:avLst/>
                          </a:prstGeom>
                          <a:ln w="9525" cap="flat" cmpd="sng">
                            <a:solidFill>
                              <a:srgbClr val="000000"/>
                            </a:solidFill>
                            <a:prstDash val="solid"/>
                            <a:headEnd type="none" w="med" len="med"/>
                            <a:tailEnd type="none" w="med" len="med"/>
                          </a:ln>
                        </wps:spPr>
                        <wps:bodyPr upright="1"/>
                      </wps:wsp>
                      <wps:wsp>
                        <wps:cNvPr id="100" name="直线 208"/>
                        <wps:cNvCnPr/>
                        <wps:spPr>
                          <a:xfrm>
                            <a:off x="7020" y="10956"/>
                            <a:ext cx="180" cy="0"/>
                          </a:xfrm>
                          <a:prstGeom prst="line">
                            <a:avLst/>
                          </a:prstGeom>
                          <a:ln w="9525" cap="flat" cmpd="sng">
                            <a:solidFill>
                              <a:srgbClr val="000000"/>
                            </a:solidFill>
                            <a:prstDash val="solid"/>
                            <a:headEnd type="none" w="med" len="med"/>
                            <a:tailEnd type="none" w="med" len="med"/>
                          </a:ln>
                        </wps:spPr>
                        <wps:bodyPr upright="1"/>
                      </wps:wsp>
                      <wps:wsp>
                        <wps:cNvPr id="101" name="直线 209"/>
                        <wps:cNvCnPr/>
                        <wps:spPr>
                          <a:xfrm>
                            <a:off x="7200" y="10488"/>
                            <a:ext cx="360" cy="0"/>
                          </a:xfrm>
                          <a:prstGeom prst="line">
                            <a:avLst/>
                          </a:prstGeom>
                          <a:ln w="9525" cap="flat" cmpd="sng">
                            <a:solidFill>
                              <a:srgbClr val="000000"/>
                            </a:solidFill>
                            <a:prstDash val="solid"/>
                            <a:headEnd type="none" w="med" len="med"/>
                            <a:tailEnd type="none" w="med" len="med"/>
                          </a:ln>
                        </wps:spPr>
                        <wps:bodyPr upright="1"/>
                      </wps:wsp>
                      <wps:wsp>
                        <wps:cNvPr id="102" name="直线 210"/>
                        <wps:cNvCnPr/>
                        <wps:spPr>
                          <a:xfrm flipH="1">
                            <a:off x="4140" y="10332"/>
                            <a:ext cx="360"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179" o:spid="_x0000_s1026" o:spt="203" style="position:absolute;left:0pt;margin-left:-2.5pt;margin-top:41.1pt;height:171.6pt;width:450pt;mso-wrap-distance-bottom:0pt;mso-wrap-distance-top:0pt;z-index:251660288;mso-width-relative:page;mso-height-relative:page;" coordorigin="1440,7680" coordsize="9000,3432" o:gfxdata="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">
                <o:lock v:ext="edit" aspectratio="f"/>
                <v:rect id="矩形 180" o:spid="_x0000_s1026" o:spt="1" style="position:absolute;left:1440;top:7680;height:3276;width:540;" fillcolor="#FFFFFF" filled="t" stroked="t" coordsize="21600,21600" o:gfxdata="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3cDd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p>
                      <w:p>
                        <w:pPr>
                          <w:jc w:val="center"/>
                          <w:rPr>
                            <w:rFonts w:hint="eastAsia" w:eastAsia="仿宋_GB2312"/>
                            <w:color w:val="000000"/>
                            <w:sz w:val="24"/>
                          </w:rPr>
                        </w:pPr>
                        <w:r>
                          <w:rPr>
                            <w:rFonts w:hint="eastAsia" w:eastAsia="仿宋_GB2312"/>
                            <w:color w:val="000000"/>
                            <w:sz w:val="24"/>
                          </w:rPr>
                          <w:t>材料设备及施工</w:t>
                        </w:r>
                      </w:p>
                    </w:txbxContent>
                  </v:textbox>
                </v:rect>
                <v:rect id="矩形 181" o:spid="_x0000_s1026" o:spt="1" style="position:absolute;left:2700;top:7680;height:468;width:1440;" fillcolor="#FFFFFF" filled="t" stroked="t" coordsize="21600,21600" o:gfxdata="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RZU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管道线槽</w:t>
                        </w:r>
                      </w:p>
                    </w:txbxContent>
                  </v:textbox>
                </v:rect>
                <v:rect id="矩形 182" o:spid="_x0000_s1026" o:spt="1" style="position:absolute;left:2700;top:8616;height:468;width:1440;" fillcolor="#FFFFFF" filled="t" stroked="t" coordsize="21600,21600" o:gfxdata="UEsDBAoAAAAAAIdO4kAAAAAAAAAAAAAAAAAEAAAAZHJzL1BLAwQUAAAACACHTuJAJ3j9Mr0AAADb&#10;AAAADwAAAGRycy9kb3ducmV2LnhtbEWPwW7CMBBE70j9B2srcQMbqAo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eP0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接地材料</w:t>
                        </w:r>
                      </w:p>
                    </w:txbxContent>
                  </v:textbox>
                </v:rect>
                <v:rect id="矩形 183" o:spid="_x0000_s1026" o:spt="1" style="position:absolute;left:2700;top:10176;height:468;width:1440;" fillcolor="#FFFFFF" filled="t" stroked="t" coordsize="21600,21600" o:gfxdata="UEsDBAoAAAAAAIdO4kAAAAAAAAAAAAAAAAAEAAAAZHJzL1BLAwQUAAAACACHTuJASDRYqb0AAADb&#10;AAAADwAAAGRycy9kb3ducmV2LnhtbEWPwW7CMBBE70j9B2srcQMbUAs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NFi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设备</w:t>
                        </w:r>
                      </w:p>
                    </w:txbxContent>
                  </v:textbox>
                </v:rect>
                <v:rect id="矩形 184" o:spid="_x0000_s1026" o:spt="1" style="position:absolute;left:4860;top:7680;height:468;width:2160;" fillcolor="#FFFFFF" filled="t" stroked="t" coordsize="21600,21600" o:gfxdata="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ObG3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材质、规格不合格</w:t>
                        </w:r>
                      </w:p>
                    </w:txbxContent>
                  </v:textbox>
                </v:rect>
                <v:rect id="矩形 185" o:spid="_x0000_s1026" o:spt="1" style="position:absolute;left:4860;top:8616;height:468;width:2160;" fillcolor="#FFFFFF" filled="t" stroked="t" coordsize="21600,21600" o:gfxdata="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qmN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安装要求不合格</w:t>
                        </w:r>
                      </w:p>
                    </w:txbxContent>
                  </v:textbox>
                </v:rect>
                <v:rect id="矩形 186" o:spid="_x0000_s1026" o:spt="1" style="position:absolute;left:7380;top:7680;height:1404;width:2880;" fillcolor="#FFFFFF" filled="t" stroked="t" coordsize="21600,21600" o:gfxdata="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Nfc3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hint="eastAsia" w:ascii="仿宋_GB2312" w:eastAsia="仿宋_GB2312"/>
                            <w:color w:val="000000"/>
                            <w:sz w:val="24"/>
                          </w:rPr>
                        </w:pPr>
                        <w:r>
                          <w:rPr>
                            <w:rFonts w:hint="eastAsia" w:ascii="仿宋_GB2312" w:eastAsia="仿宋_GB2312"/>
                            <w:color w:val="000000"/>
                            <w:sz w:val="24"/>
                          </w:rPr>
                          <w:t>材料及施工验收制度，不合格不通过，直到更换合格产品及按规范操作</w:t>
                        </w:r>
                      </w:p>
                    </w:txbxContent>
                  </v:textbox>
                </v:rect>
                <v:line id="直线 187" o:spid="_x0000_s1026" o:spt="20" style="position:absolute;left:4140;top:7992;height:780;width:720;" filled="f" stroked="t" coordsize="21600,21600" o:gfxdata="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vZnJW/&#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188" o:spid="_x0000_s1026" o:spt="20" style="position:absolute;left:4140;top:7992;flip:x;height:780;width:720;" filled="f" stroked="t" coordsize="21600,21600" o:gfxdata="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h7BbgAAADbAAAA&#10;DwAAAAAAAAABACAAAAAiAAAAZHJzL2Rvd25yZXYueG1sUEsBAhQAFAAAAAgAh07iQDMvBZ47AAAA&#10;OQAAABAAAAAAAAAAAQAgAAAABwEAAGRycy9zaGFwZXhtbC54bWxQSwUGAAAAAAYABgBbAQAAsQMA&#10;AAAA&#10;">
                  <v:fill on="f" focussize="0,0"/>
                  <v:stroke color="#000000" joinstyle="round"/>
                  <v:imagedata o:title=""/>
                  <o:lock v:ext="edit" aspectratio="f"/>
                </v:line>
                <v:line id="直线 189" o:spid="_x0000_s1026" o:spt="20" style="position:absolute;left:4140;top:7836;height:0;width:720;" filled="f" stroked="t" coordsize="21600,21600" o:gfxdata="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64L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90" o:spid="_x0000_s1026" o:spt="20" style="position:absolute;left:4140;top:8928;height:0;width:720;" filled="f" stroked="t" coordsize="21600,21600" o:gfxdata="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h+w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91" o:spid="_x0000_s1026" o:spt="20" style="position:absolute;left:2340;top:7836;height:0;width:360;" filled="f" stroked="t" coordsize="21600,21600" o:gfxdata="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TbW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92" o:spid="_x0000_s1026" o:spt="20" style="position:absolute;left:2340;top:8928;height:0;width:360;" filled="f" stroked="t" coordsize="21600,21600" o:gfxdata="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NQyy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93" o:spid="_x0000_s1026" o:spt="20" style="position:absolute;left:2340;top:10332;height:0;width:360;" filled="f" stroked="t" coordsize="21600,21600" o:gfxdata="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9B5r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94" o:spid="_x0000_s1026" o:spt="20" style="position:absolute;left:2340;top:7836;height:2496;width:0;" filled="f" stroked="t" coordsize="21600,21600" o:gfxdata="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5N4w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95" o:spid="_x0000_s1026" o:spt="20" style="position:absolute;left:1980;top:8928;height:0;width:360;" filled="f" stroked="t" coordsize="21600,21600" o:gfxdata="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Df3V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96" o:spid="_x0000_s1026" o:spt="20" style="position:absolute;left:7020;top:7992;height:0;width:180;" filled="f" stroked="t" coordsize="21600,21600" o:gfxdata="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UBJKb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197" o:spid="_x0000_s1026" o:spt="20" style="position:absolute;left:7020;top:8772;height:0;width:180;" filled="f" stroked="t" coordsize="21600,21600" o:gfxdata="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4M7LK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98" o:spid="_x0000_s1026" o:spt="20" style="position:absolute;left:7200;top:7992;height:780;width:0;" filled="f" stroked="t" coordsize="21600,21600" o:gfxdata="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79Py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99" o:spid="_x0000_s1026" o:spt="20" style="position:absolute;left:7200;top:8460;height:0;width:180;" filled="f" stroked="t" coordsize="21600,21600" o:gfxdata="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o3Z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rect id="矩形 200" o:spid="_x0000_s1026" o:spt="1" style="position:absolute;left:4860;top:9864;height:468;width:2160;" fillcolor="#FFFFFF" filled="t" stroked="t" coordsize="21600,21600" o:gfxdata="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fRJie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设备型号不符</w:t>
                        </w:r>
                      </w:p>
                    </w:txbxContent>
                  </v:textbox>
                </v:rect>
                <v:rect id="矩形 201" o:spid="_x0000_s1026" o:spt="1" style="position:absolute;left:4860;top:10644;height:468;width:2160;" fillcolor="#FFFFFF" filled="t" stroked="t" coordsize="21600,21600" o:gfxdata="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nYO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安装要求不合格</w:t>
                        </w:r>
                      </w:p>
                    </w:txbxContent>
                  </v:textbox>
                </v:rect>
                <v:rect id="矩形 202" o:spid="_x0000_s1026" o:spt="1" style="position:absolute;left:7560;top:9864;height:1248;width:2880;" fillcolor="#FFFFFF" filled="t" stroked="t" coordsize="21600,21600" o:gfxdata="UEsDBAoAAAAAAIdO4kAAAAAAAAAAAAAAAAAEAAAAZHJzL1BLAwQUAAAACACHTuJAl3QbyL4AAADb&#10;AAAADwAAAGRycy9kb3ducmV2LnhtbEWPzW7CMBCE70h9B2sr9QY2tEI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Qby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rFonts w:hint="eastAsia" w:ascii="仿宋_GB2312" w:eastAsia="仿宋_GB2312"/>
                            <w:color w:val="000000"/>
                            <w:sz w:val="24"/>
                          </w:rPr>
                        </w:pPr>
                        <w:r>
                          <w:rPr>
                            <w:rFonts w:hint="eastAsia" w:ascii="仿宋_GB2312" w:eastAsia="仿宋_GB2312"/>
                            <w:color w:val="000000"/>
                            <w:sz w:val="24"/>
                          </w:rPr>
                          <w:t>设备及施工验收制度，不合格不通过，直到更换合格产品及按规范操作</w:t>
                        </w:r>
                      </w:p>
                    </w:txbxContent>
                  </v:textbox>
                </v:rect>
                <v:line id="直线 203" o:spid="_x0000_s1026" o:spt="20" style="position:absolute;left:4500;top:10020;height:0;width:360;" filled="f" stroked="t" coordsize="21600,21600" o:gfxdata="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YcGq/&#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204" o:spid="_x0000_s1026" o:spt="20" style="position:absolute;left:4500;top:10800;height:0;width:360;" filled="f" stroked="t" coordsize="21600,21600" o:gfxdata="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kruH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205" o:spid="_x0000_s1026" o:spt="20" style="position:absolute;left:4500;top:10020;height:780;width:0;" filled="f" stroked="t" coordsize="21600,21600" o:gfxdata="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UGS4a/&#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206" o:spid="_x0000_s1026" o:spt="20" style="position:absolute;left:7020;top:10176;height:0;width:180;" filled="f" stroked="t" coordsize="21600,21600" o:gfxdata="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0md/0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207" o:spid="_x0000_s1026" o:spt="20" style="position:absolute;left:7200;top:10176;height:780;width:0;" filled="f" stroked="t" coordsize="21600,21600" o:gfxdata="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Ve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208" o:spid="_x0000_s1026" o:spt="20" style="position:absolute;left:7020;top:10956;height:0;width:180;" filled="f" stroked="t" coordsize="21600,21600" o:gfxdata="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P2ZJ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209" o:spid="_x0000_s1026" o:spt="20" style="position:absolute;left:7200;top:10488;height:0;width:360;" filled="f" stroked="t" coordsize="21600,21600" o:gfxdata="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xPLy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210" o:spid="_x0000_s1026" o:spt="20" style="position:absolute;left:4140;top:10332;flip:x;height:0;width:360;" filled="f" stroked="t" coordsize="21600,21600" o:gfxdata="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Vaa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w10:wrap type="topAndBottom"/>
              </v:group>
            </w:pict>
          </mc:Fallback>
        </mc:AlternateContent>
      </w:r>
    </w:p>
    <w:p>
      <w:pPr>
        <w:spacing w:line="360" w:lineRule="auto"/>
        <w:ind w:firstLine="482" w:firstLineChars="200"/>
        <w:jc w:val="center"/>
        <w:rPr>
          <w:rFonts w:hint="eastAsia" w:ascii="宋体" w:hAnsi="宋体" w:cs="Arial"/>
          <w:b/>
          <w:bCs/>
          <w:color w:val="000000"/>
          <w:sz w:val="24"/>
        </w:rPr>
      </w:pPr>
    </w:p>
    <w:p>
      <w:pPr>
        <w:spacing w:line="360" w:lineRule="auto"/>
        <w:ind w:firstLine="482" w:firstLineChars="200"/>
        <w:jc w:val="center"/>
        <w:rPr>
          <w:rFonts w:hint="eastAsia" w:ascii="宋体" w:hAnsi="宋体" w:cs="Arial"/>
          <w:b/>
          <w:bCs/>
          <w:color w:val="000000"/>
          <w:sz w:val="24"/>
        </w:rPr>
      </w:pPr>
    </w:p>
    <w:p>
      <w:pPr>
        <w:spacing w:line="360" w:lineRule="auto"/>
        <w:ind w:firstLine="482" w:firstLineChars="200"/>
        <w:jc w:val="center"/>
        <w:rPr>
          <w:rFonts w:hint="eastAsia" w:ascii="宋体" w:hAnsi="宋体" w:cs="Arial"/>
          <w:b/>
          <w:bCs/>
          <w:color w:val="000000"/>
          <w:sz w:val="24"/>
        </w:rPr>
      </w:pPr>
      <w:r>
        <w:rPr>
          <w:rFonts w:hint="eastAsia" w:ascii="宋体" w:hAnsi="宋体" w:cs="Arial"/>
          <w:b/>
          <w:bCs/>
          <w:color w:val="000000"/>
          <w:sz w:val="24"/>
        </w:rPr>
        <mc:AlternateContent>
          <mc:Choice Requires="wpg">
            <w:drawing>
              <wp:anchor distT="0" distB="0" distL="114300" distR="114300" simplePos="0" relativeHeight="251661312" behindDoc="0" locked="0" layoutInCell="1" allowOverlap="1">
                <wp:simplePos x="0" y="0"/>
                <wp:positionH relativeFrom="column">
                  <wp:posOffset>114300</wp:posOffset>
                </wp:positionH>
                <wp:positionV relativeFrom="paragraph">
                  <wp:posOffset>93980</wp:posOffset>
                </wp:positionV>
                <wp:extent cx="5486400" cy="1386840"/>
                <wp:effectExtent l="4445" t="4445" r="8255" b="5715"/>
                <wp:wrapTopAndBottom/>
                <wp:docPr id="115" name="组合 211"/>
                <wp:cNvGraphicFramePr/>
                <a:graphic xmlns:a="http://schemas.openxmlformats.org/drawingml/2006/main">
                  <a:graphicData uri="http://schemas.microsoft.com/office/word/2010/wordprocessingGroup">
                    <wpg:wgp>
                      <wpg:cNvGrpSpPr/>
                      <wpg:grpSpPr>
                        <a:xfrm>
                          <a:off x="0" y="0"/>
                          <a:ext cx="5486400" cy="1386840"/>
                          <a:chOff x="1440" y="12204"/>
                          <a:chExt cx="8640" cy="2184"/>
                        </a:xfrm>
                      </wpg:grpSpPr>
                      <wps:wsp>
                        <wps:cNvPr id="104" name="矩形 212"/>
                        <wps:cNvSpPr/>
                        <wps:spPr>
                          <a:xfrm>
                            <a:off x="1440" y="12204"/>
                            <a:ext cx="540" cy="218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仿宋_GB2312"/>
                                  <w:color w:val="000000"/>
                                  <w:sz w:val="24"/>
                                </w:rPr>
                              </w:pPr>
                            </w:p>
                            <w:p>
                              <w:pPr>
                                <w:rPr>
                                  <w:rFonts w:hint="eastAsia" w:eastAsia="仿宋_GB2312"/>
                                  <w:color w:val="000000"/>
                                  <w:sz w:val="24"/>
                                </w:rPr>
                              </w:pPr>
                              <w:r>
                                <w:rPr>
                                  <w:rFonts w:hint="eastAsia" w:eastAsia="仿宋_GB2312"/>
                                  <w:color w:val="000000"/>
                                  <w:sz w:val="24"/>
                                </w:rPr>
                                <w:t>施工工具</w:t>
                              </w:r>
                            </w:p>
                          </w:txbxContent>
                        </wps:txbx>
                        <wps:bodyPr wrap="square" upright="1"/>
                      </wps:wsp>
                      <wps:wsp>
                        <wps:cNvPr id="105" name="矩形 213"/>
                        <wps:cNvSpPr/>
                        <wps:spPr>
                          <a:xfrm>
                            <a:off x="3060" y="12204"/>
                            <a:ext cx="23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规格不合要求</w:t>
                              </w:r>
                            </w:p>
                          </w:txbxContent>
                        </wps:txbx>
                        <wps:bodyPr wrap="square" upright="1"/>
                      </wps:wsp>
                      <wps:wsp>
                        <wps:cNvPr id="106" name="矩形 214"/>
                        <wps:cNvSpPr/>
                        <wps:spPr>
                          <a:xfrm>
                            <a:off x="7380" y="12204"/>
                            <a:ext cx="27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要换合适规格的工具</w:t>
                              </w:r>
                            </w:p>
                          </w:txbxContent>
                        </wps:txbx>
                        <wps:bodyPr wrap="square" upright="1"/>
                      </wps:wsp>
                      <wps:wsp>
                        <wps:cNvPr id="107" name="矩形 215"/>
                        <wps:cNvSpPr/>
                        <wps:spPr>
                          <a:xfrm>
                            <a:off x="7380" y="13764"/>
                            <a:ext cx="27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补足数量</w:t>
                              </w:r>
                            </w:p>
                          </w:txbxContent>
                        </wps:txbx>
                        <wps:bodyPr wrap="square" upright="1"/>
                      </wps:wsp>
                      <wps:wsp>
                        <wps:cNvPr id="108" name="矩形 216"/>
                        <wps:cNvSpPr/>
                        <wps:spPr>
                          <a:xfrm>
                            <a:off x="3060" y="13764"/>
                            <a:ext cx="23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数量不足</w:t>
                              </w:r>
                            </w:p>
                          </w:txbxContent>
                        </wps:txbx>
                        <wps:bodyPr wrap="square" upright="1"/>
                      </wps:wsp>
                      <wps:wsp>
                        <wps:cNvPr id="109" name="直线 217"/>
                        <wps:cNvCnPr/>
                        <wps:spPr>
                          <a:xfrm>
                            <a:off x="5400" y="12516"/>
                            <a:ext cx="1980" cy="0"/>
                          </a:xfrm>
                          <a:prstGeom prst="line">
                            <a:avLst/>
                          </a:prstGeom>
                          <a:ln w="9525" cap="flat" cmpd="sng">
                            <a:solidFill>
                              <a:srgbClr val="000000"/>
                            </a:solidFill>
                            <a:prstDash val="solid"/>
                            <a:headEnd type="none" w="med" len="med"/>
                            <a:tailEnd type="none" w="med" len="med"/>
                          </a:ln>
                        </wps:spPr>
                        <wps:bodyPr upright="1"/>
                      </wps:wsp>
                      <wps:wsp>
                        <wps:cNvPr id="110" name="直线 218"/>
                        <wps:cNvCnPr/>
                        <wps:spPr>
                          <a:xfrm>
                            <a:off x="5400" y="14076"/>
                            <a:ext cx="1980" cy="0"/>
                          </a:xfrm>
                          <a:prstGeom prst="line">
                            <a:avLst/>
                          </a:prstGeom>
                          <a:ln w="9525" cap="flat" cmpd="sng">
                            <a:solidFill>
                              <a:srgbClr val="000000"/>
                            </a:solidFill>
                            <a:prstDash val="solid"/>
                            <a:headEnd type="none" w="med" len="med"/>
                            <a:tailEnd type="none" w="med" len="med"/>
                          </a:ln>
                        </wps:spPr>
                        <wps:bodyPr upright="1"/>
                      </wps:wsp>
                      <wps:wsp>
                        <wps:cNvPr id="111" name="直线 219"/>
                        <wps:cNvCnPr/>
                        <wps:spPr>
                          <a:xfrm>
                            <a:off x="2520" y="12516"/>
                            <a:ext cx="540" cy="0"/>
                          </a:xfrm>
                          <a:prstGeom prst="line">
                            <a:avLst/>
                          </a:prstGeom>
                          <a:ln w="9525" cap="flat" cmpd="sng">
                            <a:solidFill>
                              <a:srgbClr val="000000"/>
                            </a:solidFill>
                            <a:prstDash val="solid"/>
                            <a:headEnd type="none" w="med" len="med"/>
                            <a:tailEnd type="none" w="med" len="med"/>
                          </a:ln>
                        </wps:spPr>
                        <wps:bodyPr upright="1"/>
                      </wps:wsp>
                      <wps:wsp>
                        <wps:cNvPr id="112" name="直线 220"/>
                        <wps:cNvCnPr/>
                        <wps:spPr>
                          <a:xfrm>
                            <a:off x="2520" y="13920"/>
                            <a:ext cx="540" cy="0"/>
                          </a:xfrm>
                          <a:prstGeom prst="line">
                            <a:avLst/>
                          </a:prstGeom>
                          <a:ln w="9525" cap="flat" cmpd="sng">
                            <a:solidFill>
                              <a:srgbClr val="000000"/>
                            </a:solidFill>
                            <a:prstDash val="solid"/>
                            <a:headEnd type="none" w="med" len="med"/>
                            <a:tailEnd type="none" w="med" len="med"/>
                          </a:ln>
                        </wps:spPr>
                        <wps:bodyPr upright="1"/>
                      </wps:wsp>
                      <wps:wsp>
                        <wps:cNvPr id="113" name="直线 221"/>
                        <wps:cNvCnPr/>
                        <wps:spPr>
                          <a:xfrm>
                            <a:off x="2520" y="12516"/>
                            <a:ext cx="0" cy="1404"/>
                          </a:xfrm>
                          <a:prstGeom prst="line">
                            <a:avLst/>
                          </a:prstGeom>
                          <a:ln w="9525" cap="flat" cmpd="sng">
                            <a:solidFill>
                              <a:srgbClr val="000000"/>
                            </a:solidFill>
                            <a:prstDash val="solid"/>
                            <a:headEnd type="none" w="med" len="med"/>
                            <a:tailEnd type="none" w="med" len="med"/>
                          </a:ln>
                        </wps:spPr>
                        <wps:bodyPr upright="1"/>
                      </wps:wsp>
                      <wps:wsp>
                        <wps:cNvPr id="114" name="直线 222"/>
                        <wps:cNvCnPr/>
                        <wps:spPr>
                          <a:xfrm>
                            <a:off x="1980" y="13296"/>
                            <a:ext cx="540"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211" o:spid="_x0000_s1026" o:spt="203" style="position:absolute;left:0pt;margin-left:9pt;margin-top:7.4pt;height:109.2pt;width:432pt;mso-wrap-distance-bottom:0pt;mso-wrap-distance-top:0pt;z-index:251661312;mso-width-relative:page;mso-height-relative:page;" coordorigin="1440,12204" coordsize="8640,2184" o:gfxdata="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">
                <o:lock v:ext="edit" aspectratio="f"/>
                <v:rect id="矩形 212" o:spid="_x0000_s1026" o:spt="1" style="position:absolute;left:1440;top:12204;height:2184;width:540;"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hint="eastAsia" w:eastAsia="仿宋_GB2312"/>
                            <w:color w:val="000000"/>
                            <w:sz w:val="24"/>
                          </w:rPr>
                        </w:pPr>
                      </w:p>
                      <w:p>
                        <w:pPr>
                          <w:rPr>
                            <w:rFonts w:hint="eastAsia" w:eastAsia="仿宋_GB2312"/>
                            <w:color w:val="000000"/>
                            <w:sz w:val="24"/>
                          </w:rPr>
                        </w:pPr>
                        <w:r>
                          <w:rPr>
                            <w:rFonts w:hint="eastAsia" w:eastAsia="仿宋_GB2312"/>
                            <w:color w:val="000000"/>
                            <w:sz w:val="24"/>
                          </w:rPr>
                          <w:t>施工工具</w:t>
                        </w:r>
                      </w:p>
                    </w:txbxContent>
                  </v:textbox>
                </v:rect>
                <v:rect id="矩形 213" o:spid="_x0000_s1026" o:spt="1" style="position:absolute;left:3060;top:12204;height:468;width:2340;" fillcolor="#FFFFFF" filled="t" stroked="t" coordsize="21600,21600" o:gfxdata="UEsDBAoAAAAAAIdO4kAAAAAAAAAAAAAAAAAEAAAAZHJzL1BLAwQUAAAACACHTuJAkIbbh7oAAADc&#10;AAAADwAAAGRycy9kb3ducmV2LnhtbEVPPW/CMBDdK/EfrENiKzZURR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htu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规格不合要求</w:t>
                        </w:r>
                      </w:p>
                    </w:txbxContent>
                  </v:textbox>
                </v:rect>
                <v:rect id="矩形 214" o:spid="_x0000_s1026" o:spt="1" style="position:absolute;left:7380;top:12204;height:468;width:2700;"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要换合适规格的工具</w:t>
                        </w:r>
                      </w:p>
                    </w:txbxContent>
                  </v:textbox>
                </v:rect>
                <v:rect id="矩形 215" o:spid="_x0000_s1026" o:spt="1" style="position:absolute;left:7380;top:13764;height:468;width:2700;" fillcolor="#FFFFFF" filled="t" stroked="t" coordsize="21600,21600" o:gfxdata="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GOBr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补足数量</w:t>
                        </w:r>
                      </w:p>
                    </w:txbxContent>
                  </v:textbox>
                </v:rect>
                <v:rect id="矩形 216" o:spid="_x0000_s1026" o:spt="1" style="position:absolute;left:3060;top:13764;height:468;width:2340;" fillcolor="#FFFFFF" filled="t" stroked="t" coordsize="21600,21600" o:gfxdata="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3QZ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数量不足</w:t>
                        </w:r>
                      </w:p>
                    </w:txbxContent>
                  </v:textbox>
                </v:rect>
                <v:line id="直线 217" o:spid="_x0000_s1026" o:spt="20" style="position:absolute;left:5400;top:12516;height:0;width:1980;" filled="f" stroked="t" coordsize="21600,21600" o:gfxdata="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xzC6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218" o:spid="_x0000_s1026" o:spt="20" style="position:absolute;left:5400;top:14076;height:0;width:1980;" filled="f" stroked="t" coordsize="21600,21600" o:gfxdata="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SQP+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219" o:spid="_x0000_s1026" o:spt="20" style="position:absolute;left:2520;top:12516;height:0;width:540;" filled="f" stroked="t" coordsize="21600,21600" o:gfxdata="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aKph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220" o:spid="_x0000_s1026" o:spt="20" style="position:absolute;left:2520;top:13920;height:0;width:540;" filled="f" stroked="t" coordsize="21600,21600" o:gfxdata="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0F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221" o:spid="_x0000_s1026" o:spt="20" style="position:absolute;left:2520;top:12516;height:1404;width:0;" filled="f" stroked="t" coordsize="21600,21600" o:gfxdata="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2kY2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222" o:spid="_x0000_s1026" o:spt="20" style="position:absolute;left:1980;top:13296;height:0;width:540;" filled="f" stroked="t" coordsize="21600,21600" o:gfxdata="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h8J+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w10:wrap type="topAndBottom"/>
              </v:group>
            </w:pict>
          </mc:Fallback>
        </mc:AlternateContent>
      </w:r>
    </w:p>
    <w:p>
      <w:pPr>
        <w:pStyle w:val="3"/>
        <w:numPr>
          <w:ilvl w:val="1"/>
          <w:numId w:val="2"/>
        </w:numPr>
        <w:rPr>
          <w:rFonts w:hint="eastAsia" w:ascii="宋体" w:hAnsi="宋体" w:eastAsia="宋体"/>
          <w:sz w:val="30"/>
          <w:szCs w:val="30"/>
        </w:rPr>
      </w:pPr>
      <w:bookmarkStart w:id="362" w:name="_Toc29327"/>
      <w:bookmarkStart w:id="363" w:name="_Toc19160"/>
      <w:bookmarkStart w:id="364" w:name="_Toc28379"/>
      <w:bookmarkStart w:id="365" w:name="_Toc25785"/>
      <w:bookmarkStart w:id="366" w:name="_Toc93674459"/>
      <w:bookmarkStart w:id="367" w:name="_Toc17197"/>
      <w:r>
        <w:rPr>
          <w:rFonts w:ascii="宋体" w:hAnsi="宋体" w:eastAsia="宋体" w:cs="Arial"/>
          <w:bCs w:val="0"/>
          <w:color w:val="000000"/>
          <w:sz w:val="30"/>
          <w:szCs w:val="30"/>
        </w:rPr>
        <w:t>施工成本目标及保证措施</w:t>
      </w:r>
      <w:bookmarkEnd w:id="362"/>
      <w:bookmarkEnd w:id="363"/>
      <w:bookmarkEnd w:id="364"/>
      <w:bookmarkEnd w:id="365"/>
      <w:bookmarkEnd w:id="366"/>
      <w:bookmarkEnd w:id="367"/>
    </w:p>
    <w:p>
      <w:pPr>
        <w:pStyle w:val="4"/>
        <w:numPr>
          <w:ilvl w:val="1"/>
          <w:numId w:val="90"/>
        </w:numPr>
        <w:rPr>
          <w:rFonts w:hint="eastAsia" w:ascii="宋体" w:hAnsi="宋体"/>
          <w:sz w:val="28"/>
          <w:szCs w:val="28"/>
        </w:rPr>
      </w:pPr>
      <w:bookmarkStart w:id="368" w:name="_Toc2086"/>
      <w:bookmarkStart w:id="369" w:name="_Toc20658"/>
      <w:bookmarkStart w:id="370" w:name="_Toc16095"/>
      <w:bookmarkStart w:id="371" w:name="_Toc18042"/>
      <w:bookmarkStart w:id="372" w:name="_Toc26035"/>
      <w:r>
        <w:rPr>
          <w:rFonts w:cs="Arial"/>
          <w:bCs w:val="0"/>
          <w:color w:val="000000"/>
          <w:sz w:val="28"/>
          <w:szCs w:val="28"/>
        </w:rPr>
        <w:t>施工成本目标</w:t>
      </w:r>
      <w:bookmarkEnd w:id="368"/>
      <w:bookmarkEnd w:id="369"/>
      <w:bookmarkEnd w:id="370"/>
      <w:bookmarkEnd w:id="371"/>
      <w:bookmarkEnd w:id="372"/>
    </w:p>
    <w:p>
      <w:pPr>
        <w:spacing w:line="360" w:lineRule="auto"/>
        <w:ind w:firstLine="480" w:firstLineChars="200"/>
        <w:rPr>
          <w:rFonts w:hint="default" w:ascii="宋体" w:hAnsi="宋体" w:eastAsia="宋体" w:cs="Arial"/>
          <w:color w:val="000000"/>
          <w:sz w:val="24"/>
          <w:lang w:val="en-US" w:eastAsia="zh-CN"/>
        </w:rPr>
      </w:pPr>
      <w:r>
        <w:rPr>
          <w:rFonts w:ascii="宋体" w:hAnsi="宋体" w:cs="Arial"/>
          <w:color w:val="000000"/>
          <w:sz w:val="24"/>
        </w:rPr>
        <w:t>施工项目成本控制是一项全面的系统的管理过程，包括成本预测、计划、实施、核算、分析、考核、整理成本资料与编制成本报告等内容。施工成本控制</w:t>
      </w:r>
      <w:r>
        <w:rPr>
          <w:rFonts w:hint="eastAsia" w:hAnsi="宋体" w:cs="Arial"/>
          <w:color w:val="000000"/>
          <w:sz w:val="24"/>
          <w:lang w:val="en-US" w:eastAsia="zh-CN"/>
        </w:rPr>
        <w:t>的目标如下：</w:t>
      </w:r>
    </w:p>
    <w:p>
      <w:pPr>
        <w:numPr>
          <w:ilvl w:val="0"/>
          <w:numId w:val="91"/>
        </w:numPr>
        <w:bidi w:val="0"/>
        <w:spacing w:line="360" w:lineRule="auto"/>
        <w:ind w:left="680" w:leftChars="0" w:hanging="340" w:firstLineChars="0"/>
        <w:rPr>
          <w:rFonts w:hint="eastAsia"/>
          <w:sz w:val="24"/>
          <w:szCs w:val="24"/>
        </w:rPr>
      </w:pPr>
      <w:r>
        <w:rPr>
          <w:rFonts w:hint="eastAsia"/>
          <w:sz w:val="24"/>
          <w:szCs w:val="24"/>
        </w:rPr>
        <w:t>以设计图纸为基础，做好成本分析，核算合理的成本控制目标，加强管理，把工程成本控制在合理范围以内。</w:t>
      </w:r>
    </w:p>
    <w:p>
      <w:pPr>
        <w:numPr>
          <w:ilvl w:val="0"/>
          <w:numId w:val="91"/>
        </w:numPr>
        <w:bidi w:val="0"/>
        <w:spacing w:line="360" w:lineRule="auto"/>
        <w:ind w:left="680" w:leftChars="0" w:hanging="340" w:firstLineChars="0"/>
        <w:rPr>
          <w:rFonts w:hint="eastAsia"/>
          <w:sz w:val="24"/>
          <w:szCs w:val="24"/>
        </w:rPr>
      </w:pPr>
      <w:r>
        <w:rPr>
          <w:rFonts w:hint="eastAsia"/>
          <w:sz w:val="24"/>
          <w:szCs w:val="24"/>
        </w:rPr>
        <w:t>使可能动用的建设资金能够在主体工程中的各单位工程、配套工程和附属工程等分部工程之间合理的分配。</w:t>
      </w:r>
    </w:p>
    <w:p>
      <w:pPr>
        <w:numPr>
          <w:ilvl w:val="0"/>
          <w:numId w:val="91"/>
        </w:numPr>
        <w:bidi w:val="0"/>
        <w:spacing w:line="360" w:lineRule="auto"/>
        <w:ind w:left="680" w:leftChars="0" w:hanging="340" w:firstLineChars="0"/>
        <w:rPr>
          <w:rFonts w:hint="eastAsia"/>
          <w:sz w:val="24"/>
          <w:szCs w:val="24"/>
        </w:rPr>
      </w:pPr>
      <w:r>
        <w:rPr>
          <w:rFonts w:hint="eastAsia"/>
          <w:sz w:val="24"/>
          <w:szCs w:val="24"/>
        </w:rPr>
        <w:t>严格投资审核程序，发生偏差时能及时采取补救措施，使支出总额控制在限定的范围内，最终不突破各阶段的控制。</w:t>
      </w:r>
    </w:p>
    <w:p>
      <w:pPr>
        <w:numPr>
          <w:ilvl w:val="0"/>
          <w:numId w:val="91"/>
        </w:numPr>
        <w:bidi w:val="0"/>
        <w:spacing w:line="360" w:lineRule="auto"/>
        <w:ind w:left="680" w:leftChars="0" w:hanging="340" w:firstLineChars="0"/>
        <w:rPr>
          <w:rFonts w:hint="eastAsia"/>
          <w:sz w:val="24"/>
          <w:szCs w:val="24"/>
        </w:rPr>
      </w:pPr>
      <w:r>
        <w:rPr>
          <w:rFonts w:hint="eastAsia"/>
          <w:sz w:val="24"/>
          <w:szCs w:val="24"/>
        </w:rPr>
        <w:t>综合考虑工程造价和工程的功能要求及建设工期，以使建设投资取得较好收益。</w:t>
      </w:r>
    </w:p>
    <w:p>
      <w:pPr>
        <w:pStyle w:val="4"/>
        <w:numPr>
          <w:ilvl w:val="1"/>
          <w:numId w:val="90"/>
        </w:numPr>
        <w:rPr>
          <w:rFonts w:hint="eastAsia" w:ascii="宋体" w:hAnsi="宋体"/>
          <w:sz w:val="28"/>
          <w:szCs w:val="28"/>
        </w:rPr>
      </w:pPr>
      <w:bookmarkStart w:id="373" w:name="_Toc701"/>
      <w:bookmarkStart w:id="374" w:name="_Toc12727"/>
      <w:r>
        <w:rPr>
          <w:rFonts w:hint="eastAsia" w:cs="Arial"/>
          <w:bCs w:val="0"/>
          <w:color w:val="000000"/>
          <w:sz w:val="28"/>
          <w:szCs w:val="28"/>
        </w:rPr>
        <w:t>施工成本的构成</w:t>
      </w:r>
      <w:bookmarkEnd w:id="373"/>
      <w:bookmarkEnd w:id="374"/>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施工成本是指施工过程当中所发生全部费用总和，包括所消耗的原材料、辅助材料、构配件等费用，周转材料的摊销费用或租赁费用，施工机械使用费或租赁费，支付给生产工人的工资、奖金以及进行施工组织与管理所发生的全部费用的支出。如今，项目成本与过去构成框架略有不同，随着公司体制的改革与完善，我公司已走入施工总承包的经营方式，项目成本的划分也逐步细化完善。见施工成本构成表。</w:t>
      </w:r>
    </w:p>
    <w:tbl>
      <w:tblPr>
        <w:tblStyle w:val="23"/>
        <w:tblW w:w="8340" w:type="dxa"/>
        <w:tblInd w:w="1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
        <w:gridCol w:w="753"/>
        <w:gridCol w:w="1757"/>
        <w:gridCol w:w="5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restart"/>
            <w:noWrap w:val="0"/>
            <w:textDirection w:val="tbRlV"/>
            <w:vAlign w:val="center"/>
          </w:tcPr>
          <w:p>
            <w:pPr>
              <w:ind w:left="113" w:right="113"/>
              <w:jc w:val="center"/>
              <w:rPr>
                <w:rFonts w:hint="eastAsia" w:ascii="宋体" w:hAnsi="宋体" w:eastAsia="宋体" w:cs="宋体"/>
                <w:sz w:val="24"/>
                <w:szCs w:val="24"/>
              </w:rPr>
            </w:pPr>
            <w:r>
              <w:rPr>
                <w:rFonts w:hint="eastAsia" w:ascii="宋体" w:hAnsi="宋体" w:eastAsia="宋体" w:cs="宋体"/>
                <w:sz w:val="24"/>
                <w:szCs w:val="24"/>
              </w:rPr>
              <w:t>施     工    成     本</w:t>
            </w:r>
          </w:p>
        </w:tc>
        <w:tc>
          <w:tcPr>
            <w:tcW w:w="2510"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分包款</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单项工程分包（主要是包工、包部分零星材料），一般为一次包死。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753" w:type="dxa"/>
            <w:vMerge w:val="restart"/>
            <w:noWrap w:val="0"/>
            <w:textDirection w:val="tbRlV"/>
            <w:vAlign w:val="center"/>
          </w:tcPr>
          <w:p>
            <w:pPr>
              <w:ind w:left="113" w:right="113"/>
              <w:jc w:val="center"/>
              <w:rPr>
                <w:rFonts w:hint="eastAsia" w:ascii="宋体" w:hAnsi="宋体" w:eastAsia="宋体" w:cs="宋体"/>
                <w:sz w:val="24"/>
                <w:szCs w:val="24"/>
              </w:rPr>
            </w:pPr>
            <w:r>
              <w:rPr>
                <w:rFonts w:hint="eastAsia" w:ascii="宋体" w:hAnsi="宋体" w:eastAsia="宋体" w:cs="宋体"/>
                <w:sz w:val="24"/>
                <w:szCs w:val="24"/>
              </w:rPr>
              <w:t>直  接  费</w:t>
            </w:r>
          </w:p>
        </w:tc>
        <w:tc>
          <w:tcPr>
            <w:tcW w:w="175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人工费</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生产工人开支的各项费用。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753" w:type="dxa"/>
            <w:vMerge w:val="continue"/>
            <w:noWrap w:val="0"/>
            <w:vAlign w:val="center"/>
          </w:tcPr>
          <w:p>
            <w:pPr>
              <w:jc w:val="center"/>
              <w:rPr>
                <w:rFonts w:hint="eastAsia" w:ascii="宋体" w:hAnsi="宋体" w:eastAsia="宋体" w:cs="宋体"/>
                <w:sz w:val="24"/>
                <w:szCs w:val="24"/>
              </w:rPr>
            </w:pPr>
          </w:p>
        </w:tc>
        <w:tc>
          <w:tcPr>
            <w:tcW w:w="175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材料费</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施工中耗用的各种材料费用。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753" w:type="dxa"/>
            <w:vMerge w:val="continue"/>
            <w:noWrap w:val="0"/>
            <w:vAlign w:val="center"/>
          </w:tcPr>
          <w:p>
            <w:pPr>
              <w:jc w:val="center"/>
              <w:rPr>
                <w:rFonts w:hint="eastAsia" w:ascii="宋体" w:hAnsi="宋体" w:eastAsia="宋体" w:cs="宋体"/>
                <w:sz w:val="24"/>
                <w:szCs w:val="24"/>
              </w:rPr>
            </w:pPr>
          </w:p>
        </w:tc>
        <w:tc>
          <w:tcPr>
            <w:tcW w:w="175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机械费</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施工中使用机械所发生的费用。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753" w:type="dxa"/>
            <w:vMerge w:val="continue"/>
            <w:noWrap w:val="0"/>
            <w:vAlign w:val="center"/>
          </w:tcPr>
          <w:p>
            <w:pPr>
              <w:jc w:val="center"/>
              <w:rPr>
                <w:rFonts w:hint="eastAsia" w:ascii="宋体" w:hAnsi="宋体" w:eastAsia="宋体" w:cs="宋体"/>
                <w:sz w:val="24"/>
                <w:szCs w:val="24"/>
              </w:rPr>
            </w:pPr>
          </w:p>
        </w:tc>
        <w:tc>
          <w:tcPr>
            <w:tcW w:w="175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其它直接费</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包括临设费及其他，直接用于工程施工的辅助性费用。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2510"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现场经费</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应由项目承担不直接作用于施工的辅助费用开销。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2510"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项目服务费</w:t>
            </w:r>
          </w:p>
        </w:tc>
        <w:tc>
          <w:tcPr>
            <w:tcW w:w="5324" w:type="dxa"/>
            <w:noWrap w:val="0"/>
            <w:vAlign w:val="center"/>
          </w:tcPr>
          <w:p>
            <w:pPr>
              <w:rPr>
                <w:rFonts w:hint="eastAsia" w:ascii="宋体" w:hAnsi="宋体" w:eastAsia="宋体" w:cs="宋体"/>
                <w:sz w:val="24"/>
                <w:szCs w:val="24"/>
                <w:lang w:eastAsia="zh-CN"/>
              </w:rPr>
            </w:pPr>
            <w:r>
              <w:rPr>
                <w:rFonts w:hint="eastAsia" w:ascii="宋体" w:hAnsi="宋体" w:eastAsia="宋体" w:cs="宋体"/>
                <w:sz w:val="24"/>
                <w:szCs w:val="24"/>
              </w:rPr>
              <w:t>为配合其他专业分公司施工的收支费用</w:t>
            </w:r>
            <w:r>
              <w:rPr>
                <w:rFonts w:hint="eastAsia" w:hAnsi="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506" w:type="dxa"/>
            <w:vMerge w:val="continue"/>
            <w:noWrap w:val="0"/>
            <w:vAlign w:val="top"/>
          </w:tcPr>
          <w:p>
            <w:pPr>
              <w:rPr>
                <w:rFonts w:hint="eastAsia" w:ascii="宋体" w:hAnsi="宋体" w:eastAsia="宋体" w:cs="宋体"/>
                <w:sz w:val="24"/>
                <w:szCs w:val="24"/>
              </w:rPr>
            </w:pPr>
          </w:p>
        </w:tc>
        <w:tc>
          <w:tcPr>
            <w:tcW w:w="2510"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甲方分包配合费</w:t>
            </w:r>
          </w:p>
        </w:tc>
        <w:tc>
          <w:tcPr>
            <w:tcW w:w="5324"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我方为配合甲方指定分包方施工所发生的收支费用。</w:t>
            </w:r>
          </w:p>
        </w:tc>
      </w:tr>
    </w:tbl>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 xml:space="preserve">    </w:t>
      </w:r>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与以往相比，项目上经常出现一些较难控制性支出费用，主要是地方上收费较多（如占地费、环卫清洁费、临建规划费等等）。为此项目其它直接费中新增加了地方费用一项。因此，只有充分了解项目成本构成，才能更好控制项目成本支出。</w:t>
      </w:r>
    </w:p>
    <w:p>
      <w:pPr>
        <w:pStyle w:val="4"/>
        <w:numPr>
          <w:ilvl w:val="1"/>
          <w:numId w:val="90"/>
        </w:numPr>
        <w:rPr>
          <w:rFonts w:hint="eastAsia" w:ascii="宋体" w:hAnsi="宋体"/>
          <w:sz w:val="28"/>
          <w:szCs w:val="28"/>
        </w:rPr>
      </w:pPr>
      <w:bookmarkStart w:id="375" w:name="_Toc21783"/>
      <w:bookmarkStart w:id="376" w:name="_Toc12082"/>
      <w:bookmarkStart w:id="377" w:name="_Toc19326"/>
      <w:bookmarkStart w:id="378" w:name="_Toc5752"/>
      <w:bookmarkStart w:id="379" w:name="_Toc19841"/>
      <w:r>
        <w:rPr>
          <w:rFonts w:cs="Arial"/>
          <w:bCs w:val="0"/>
          <w:color w:val="000000"/>
          <w:sz w:val="28"/>
          <w:szCs w:val="28"/>
        </w:rPr>
        <w:t>施工成本控制</w:t>
      </w:r>
      <w:bookmarkEnd w:id="375"/>
      <w:bookmarkEnd w:id="376"/>
      <w:bookmarkEnd w:id="377"/>
      <w:bookmarkEnd w:id="378"/>
      <w:bookmarkEnd w:id="379"/>
    </w:p>
    <w:p>
      <w:pPr>
        <w:spacing w:line="360" w:lineRule="auto"/>
        <w:ind w:firstLine="480"/>
        <w:rPr>
          <w:rFonts w:ascii="宋体" w:hAnsi="宋体" w:cs="Arial"/>
          <w:color w:val="000000"/>
          <w:sz w:val="24"/>
        </w:rPr>
      </w:pPr>
      <w:r>
        <w:rPr>
          <w:rFonts w:ascii="宋体" w:hAnsi="宋体" w:cs="Arial"/>
          <w:color w:val="000000"/>
          <w:sz w:val="24"/>
        </w:rPr>
        <w:t>施工预算是项目经理部的计划目标成本，项目部各管理和技术人员均应明确自己的成本目标、管理责任和管理措施。项目经理部应编制监控系统“成本措施控制表”，每月编制成本报告，及时核算和纠偏，以确保在计划成本范围内保质保量的完成工程。</w:t>
      </w:r>
    </w:p>
    <w:p>
      <w:pPr>
        <w:spacing w:line="360" w:lineRule="auto"/>
        <w:ind w:firstLine="480"/>
        <w:rPr>
          <w:rFonts w:hint="eastAsia" w:ascii="宋体" w:hAnsi="宋体" w:eastAsia="宋体" w:cs="Arial"/>
          <w:color w:val="000000"/>
          <w:sz w:val="24"/>
          <w:lang w:eastAsia="zh-CN"/>
        </w:rPr>
      </w:pPr>
      <w:r>
        <w:rPr>
          <w:rFonts w:hint="eastAsia" w:ascii="宋体" w:hAnsi="宋体" w:cs="Arial"/>
          <w:color w:val="000000"/>
          <w:sz w:val="24"/>
        </w:rPr>
        <w:t>在施工过程中对影响项目施工成本的各种因素加强管理，并采取各种有效措施，将施工中实际发生的各种消耗和支出严格控制在成本计划范围内，随时揭示并及时反馈，严格审查各项费用是否符合标准，计算实际成本和计划成本之间的差异并进行分析，进而采取多种形式，消除施工中的损失浪费现象。</w:t>
      </w:r>
      <w:r>
        <w:rPr>
          <w:rFonts w:hint="eastAsia" w:ascii="宋体" w:hAnsi="宋体" w:cs="Arial"/>
          <w:color w:val="000000"/>
          <w:sz w:val="24"/>
        </w:rPr>
        <w:br w:type="textWrapping"/>
      </w:r>
      <w:r>
        <w:rPr>
          <w:rFonts w:ascii="宋体" w:hAnsi="宋体" w:cs="Arial"/>
          <w:color w:val="000000"/>
          <w:sz w:val="24"/>
        </w:rPr>
        <w:t>　</w:t>
      </w:r>
      <w:r>
        <w:rPr>
          <w:rFonts w:hint="eastAsia" w:ascii="宋体" w:hAnsi="宋体" w:cs="Arial"/>
          <w:color w:val="000000"/>
          <w:sz w:val="24"/>
        </w:rPr>
        <w:t>　 施工成本控制应贯穿于施工项目从投标阶段开始直到项目竣工验收的全过程，它是企业全面成本管理的重要环节。施工成本控制可分为事先控制、事中控制（过程控制）和事后控制。在项目的施工过程中，需按动态控制原理对实际施工成本的发生过程进行有效控制。施工成本控制程序如下</w:t>
      </w:r>
      <w:r>
        <w:rPr>
          <w:rFonts w:hint="eastAsia" w:hAnsi="宋体" w:cs="Arial"/>
          <w:color w:val="000000"/>
          <w:sz w:val="24"/>
          <w:lang w:eastAsia="zh-CN"/>
        </w:rPr>
        <w:t>：</w:t>
      </w:r>
    </w:p>
    <w:p>
      <w:pPr>
        <w:spacing w:line="360" w:lineRule="auto"/>
        <w:rPr>
          <w:rFonts w:hint="eastAsia" w:ascii="宋体" w:hAnsi="宋体" w:cs="Arial"/>
          <w:color w:val="000000"/>
          <w:sz w:val="24"/>
        </w:rPr>
      </w:pPr>
      <w:r>
        <w:rPr>
          <w:rFonts w:hint="eastAsia" w:ascii="宋体" w:hAnsi="宋体" w:cs="Arial"/>
          <w:color w:val="000000"/>
          <w:sz w:val="24"/>
        </w:rPr>
        <w:t>成本控制程序图</w:t>
      </w:r>
    </w:p>
    <w:p>
      <w:pPr>
        <w:spacing w:line="360" w:lineRule="auto"/>
      </w:pPr>
      <w:r>
        <w:rPr>
          <w:sz w:val="28"/>
        </w:rPr>
        <mc:AlternateContent>
          <mc:Choice Requires="wpg">
            <w:drawing>
              <wp:anchor distT="0" distB="0" distL="114300" distR="114300" simplePos="0" relativeHeight="251666432" behindDoc="0" locked="0" layoutInCell="1" allowOverlap="1">
                <wp:simplePos x="0" y="0"/>
                <wp:positionH relativeFrom="column">
                  <wp:posOffset>-638175</wp:posOffset>
                </wp:positionH>
                <wp:positionV relativeFrom="paragraph">
                  <wp:posOffset>100965</wp:posOffset>
                </wp:positionV>
                <wp:extent cx="6040120" cy="5795010"/>
                <wp:effectExtent l="4445" t="4445" r="13335" b="17145"/>
                <wp:wrapNone/>
                <wp:docPr id="254" name="组合 254"/>
                <wp:cNvGraphicFramePr/>
                <a:graphic xmlns:a="http://schemas.openxmlformats.org/drawingml/2006/main">
                  <a:graphicData uri="http://schemas.microsoft.com/office/word/2010/wordprocessingGroup">
                    <wpg:wgp>
                      <wpg:cNvGrpSpPr/>
                      <wpg:grpSpPr>
                        <a:xfrm>
                          <a:off x="0" y="0"/>
                          <a:ext cx="6040120" cy="5795010"/>
                          <a:chOff x="10248" y="38344"/>
                          <a:chExt cx="9512" cy="9126"/>
                        </a:xfrm>
                      </wpg:grpSpPr>
                      <wps:wsp>
                        <wps:cNvPr id="213" name="文本框 213"/>
                        <wps:cNvSpPr txBox="1"/>
                        <wps:spPr>
                          <a:xfrm>
                            <a:off x="11457" y="38900"/>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市场调查预测</w:t>
                              </w:r>
                            </w:p>
                          </w:txbxContent>
                        </wps:txbx>
                        <wps:bodyPr lIns="0" tIns="0" rIns="0" bIns="0" upright="1"/>
                      </wps:wsp>
                      <wps:wsp>
                        <wps:cNvPr id="214" name="文本框 214"/>
                        <wps:cNvSpPr txBox="1"/>
                        <wps:spPr>
                          <a:xfrm>
                            <a:off x="12840" y="38359"/>
                            <a:ext cx="1349"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项目成本预(估)算</w:t>
                              </w:r>
                            </w:p>
                            <w:p>
                              <w:pPr>
                                <w:spacing w:line="240" w:lineRule="atLeast"/>
                                <w:rPr>
                                  <w:rFonts w:hint="eastAsia"/>
                                  <w:sz w:val="15"/>
                                  <w:szCs w:val="15"/>
                                </w:rPr>
                              </w:pPr>
                            </w:p>
                          </w:txbxContent>
                        </wps:txbx>
                        <wps:bodyPr lIns="0" tIns="0" rIns="0" bIns="0" upright="1"/>
                      </wps:wsp>
                      <wps:wsp>
                        <wps:cNvPr id="215" name="文本框 215"/>
                        <wps:cNvSpPr txBox="1"/>
                        <wps:spPr>
                          <a:xfrm>
                            <a:off x="14469" y="38352"/>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项目投标承包</w:t>
                              </w:r>
                            </w:p>
                          </w:txbxContent>
                        </wps:txbx>
                        <wps:bodyPr lIns="0" tIns="0" rIns="0" bIns="0" upright="1"/>
                      </wps:wsp>
                      <wps:wsp>
                        <wps:cNvPr id="216" name="文本框 216"/>
                        <wps:cNvSpPr txBox="1"/>
                        <wps:spPr>
                          <a:xfrm>
                            <a:off x="18756" y="38344"/>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增收节约途径</w:t>
                              </w:r>
                            </w:p>
                          </w:txbxContent>
                        </wps:txbx>
                        <wps:bodyPr lIns="0" tIns="0" rIns="0" bIns="0" upright="1"/>
                      </wps:wsp>
                      <wps:wsp>
                        <wps:cNvPr id="217" name="文本框 217"/>
                        <wps:cNvSpPr txBox="1"/>
                        <wps:spPr>
                          <a:xfrm>
                            <a:off x="17427" y="38352"/>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制造成本核定</w:t>
                              </w:r>
                            </w:p>
                          </w:txbxContent>
                        </wps:txbx>
                        <wps:bodyPr lIns="0" tIns="0" rIns="0" bIns="0" upright="1"/>
                      </wps:wsp>
                      <wps:wsp>
                        <wps:cNvPr id="218" name="文本框 218"/>
                        <wps:cNvSpPr txBox="1"/>
                        <wps:spPr>
                          <a:xfrm>
                            <a:off x="15813" y="38344"/>
                            <a:ext cx="1280"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公司利润目标</w:t>
                              </w:r>
                            </w:p>
                          </w:txbxContent>
                        </wps:txbx>
                        <wps:bodyPr lIns="0" tIns="0" rIns="0" bIns="0" upright="1"/>
                      </wps:wsp>
                      <wps:wsp>
                        <wps:cNvPr id="219" name="文本框 219"/>
                        <wps:cNvSpPr txBox="1"/>
                        <wps:spPr>
                          <a:xfrm>
                            <a:off x="12840" y="38900"/>
                            <a:ext cx="1350"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对分包成本预(估)算</w:t>
                              </w:r>
                            </w:p>
                          </w:txbxContent>
                        </wps:txbx>
                        <wps:bodyPr lIns="0" tIns="0" rIns="0" bIns="0" upright="1"/>
                      </wps:wsp>
                      <wps:wsp>
                        <wps:cNvPr id="220" name="文本框 220"/>
                        <wps:cNvSpPr txBox="1"/>
                        <wps:spPr>
                          <a:xfrm>
                            <a:off x="14469" y="38900"/>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both"/>
                                <w:rPr>
                                  <w:rFonts w:hint="eastAsia"/>
                                  <w:sz w:val="15"/>
                                  <w:szCs w:val="15"/>
                                </w:rPr>
                              </w:pPr>
                              <w:r>
                                <w:rPr>
                                  <w:rFonts w:hint="eastAsia"/>
                                  <w:sz w:val="15"/>
                                  <w:szCs w:val="15"/>
                                </w:rPr>
                                <w:t>对分包招标</w:t>
                              </w:r>
                            </w:p>
                          </w:txbxContent>
                        </wps:txbx>
                        <wps:bodyPr lIns="0" tIns="0" rIns="0" bIns="0" upright="1"/>
                      </wps:wsp>
                      <wps:wsp>
                        <wps:cNvPr id="221" name="文本框 221"/>
                        <wps:cNvSpPr txBox="1"/>
                        <wps:spPr>
                          <a:xfrm>
                            <a:off x="15813" y="38892"/>
                            <a:ext cx="1281"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同类项目成本水平</w:t>
                              </w:r>
                            </w:p>
                          </w:txbxContent>
                        </wps:txbx>
                        <wps:bodyPr lIns="0" tIns="0" rIns="0" bIns="0" upright="1"/>
                      </wps:wsp>
                      <wps:wsp>
                        <wps:cNvPr id="222" name="文本框 222"/>
                        <wps:cNvSpPr txBox="1"/>
                        <wps:spPr>
                          <a:xfrm>
                            <a:off x="17427" y="38900"/>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成本实施计划</w:t>
                              </w:r>
                            </w:p>
                          </w:txbxContent>
                        </wps:txbx>
                        <wps:bodyPr lIns="0" tIns="0" rIns="0" bIns="0" upright="1"/>
                      </wps:wsp>
                      <wps:wsp>
                        <wps:cNvPr id="223" name="文本框 223"/>
                        <wps:cNvSpPr txBox="1"/>
                        <wps:spPr>
                          <a:xfrm>
                            <a:off x="18756" y="38892"/>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增收节约途径</w:t>
                              </w:r>
                            </w:p>
                          </w:txbxContent>
                        </wps:txbx>
                        <wps:bodyPr lIns="0" tIns="0" rIns="0" bIns="0" upright="1"/>
                      </wps:wsp>
                      <wps:wsp>
                        <wps:cNvPr id="224" name="文本框 224"/>
                        <wps:cNvSpPr txBox="1"/>
                        <wps:spPr>
                          <a:xfrm>
                            <a:off x="10286" y="39115"/>
                            <a:ext cx="620" cy="453"/>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240" w:lineRule="atLeast"/>
                                <w:rPr>
                                  <w:rFonts w:hint="eastAsia"/>
                                  <w:sz w:val="15"/>
                                  <w:szCs w:val="15"/>
                                </w:rPr>
                              </w:pPr>
                              <w:r>
                                <w:rPr>
                                  <w:rFonts w:hint="eastAsia"/>
                                  <w:sz w:val="15"/>
                                  <w:szCs w:val="15"/>
                                </w:rPr>
                                <w:t xml:space="preserve"> 项目</w:t>
                              </w:r>
                            </w:p>
                          </w:txbxContent>
                        </wps:txbx>
                        <wps:bodyPr lIns="0" tIns="0" rIns="0" bIns="0" upright="1"/>
                      </wps:wsp>
                      <wps:wsp>
                        <wps:cNvPr id="225" name="文本框 225"/>
                        <wps:cNvSpPr txBox="1"/>
                        <wps:spPr>
                          <a:xfrm>
                            <a:off x="11457" y="38369"/>
                            <a:ext cx="100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rPr>
                                  <w:rFonts w:hint="eastAsia"/>
                                  <w:sz w:val="15"/>
                                  <w:szCs w:val="15"/>
                                </w:rPr>
                              </w:pPr>
                              <w:r>
                                <w:rPr>
                                  <w:rFonts w:hint="eastAsia"/>
                                  <w:sz w:val="15"/>
                                  <w:szCs w:val="15"/>
                                </w:rPr>
                                <w:t>项目跟踪预测</w:t>
                              </w:r>
                            </w:p>
                          </w:txbxContent>
                        </wps:txbx>
                        <wps:bodyPr lIns="0" tIns="0" rIns="0" bIns="0" upright="1"/>
                      </wps:wsp>
                      <wps:wsp>
                        <wps:cNvPr id="226" name="直接连接符 226"/>
                        <wps:cNvCnPr/>
                        <wps:spPr>
                          <a:xfrm>
                            <a:off x="10993" y="39305"/>
                            <a:ext cx="251" cy="0"/>
                          </a:xfrm>
                          <a:prstGeom prst="line">
                            <a:avLst/>
                          </a:prstGeom>
                          <a:ln w="9525" cap="flat" cmpd="sng">
                            <a:solidFill>
                              <a:srgbClr val="000000"/>
                            </a:solidFill>
                            <a:prstDash val="solid"/>
                            <a:headEnd type="none" w="med" len="med"/>
                            <a:tailEnd type="triangle" w="med" len="med"/>
                          </a:ln>
                        </wps:spPr>
                        <wps:bodyPr upright="1"/>
                      </wps:wsp>
                      <wps:wsp>
                        <wps:cNvPr id="227" name="文本框 227"/>
                        <wps:cNvSpPr txBox="1"/>
                        <wps:spPr>
                          <a:xfrm>
                            <a:off x="10248" y="38444"/>
                            <a:ext cx="551" cy="378"/>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240" w:lineRule="atLeast"/>
                                <w:rPr>
                                  <w:rFonts w:hint="eastAsia"/>
                                  <w:sz w:val="15"/>
                                  <w:szCs w:val="15"/>
                                </w:rPr>
                              </w:pPr>
                              <w:r>
                                <w:rPr>
                                  <w:rFonts w:hint="eastAsia"/>
                                  <w:sz w:val="15"/>
                                  <w:szCs w:val="15"/>
                                </w:rPr>
                                <w:t xml:space="preserve"> 公司</w:t>
                              </w:r>
                            </w:p>
                          </w:txbxContent>
                        </wps:txbx>
                        <wps:bodyPr lIns="0" tIns="0" rIns="0" bIns="0" upright="1"/>
                      </wps:wsp>
                      <wps:wsp>
                        <wps:cNvPr id="228" name="直接连接符 228"/>
                        <wps:cNvCnPr/>
                        <wps:spPr>
                          <a:xfrm>
                            <a:off x="11959" y="39720"/>
                            <a:ext cx="0" cy="487"/>
                          </a:xfrm>
                          <a:prstGeom prst="line">
                            <a:avLst/>
                          </a:prstGeom>
                          <a:ln w="9525" cap="flat" cmpd="sng">
                            <a:solidFill>
                              <a:srgbClr val="000000"/>
                            </a:solidFill>
                            <a:prstDash val="solid"/>
                            <a:headEnd type="none" w="med" len="med"/>
                            <a:tailEnd type="triangle" w="med" len="med"/>
                          </a:ln>
                        </wps:spPr>
                        <wps:bodyPr upright="1"/>
                      </wps:wsp>
                      <wps:wsp>
                        <wps:cNvPr id="229" name="直接连接符 229"/>
                        <wps:cNvCnPr/>
                        <wps:spPr>
                          <a:xfrm>
                            <a:off x="14971" y="39704"/>
                            <a:ext cx="0" cy="487"/>
                          </a:xfrm>
                          <a:prstGeom prst="line">
                            <a:avLst/>
                          </a:prstGeom>
                          <a:ln w="9525" cap="flat" cmpd="sng">
                            <a:solidFill>
                              <a:srgbClr val="000000"/>
                            </a:solidFill>
                            <a:prstDash val="solid"/>
                            <a:headEnd type="none" w="med" len="med"/>
                            <a:tailEnd type="triangle" w="med" len="med"/>
                          </a:ln>
                        </wps:spPr>
                        <wps:bodyPr upright="1"/>
                      </wps:wsp>
                      <wps:wsp>
                        <wps:cNvPr id="230" name="直接连接符 230"/>
                        <wps:cNvCnPr/>
                        <wps:spPr>
                          <a:xfrm>
                            <a:off x="16461" y="39658"/>
                            <a:ext cx="0" cy="487"/>
                          </a:xfrm>
                          <a:prstGeom prst="line">
                            <a:avLst/>
                          </a:prstGeom>
                          <a:ln w="9525" cap="flat" cmpd="sng">
                            <a:solidFill>
                              <a:srgbClr val="000000"/>
                            </a:solidFill>
                            <a:prstDash val="solid"/>
                            <a:headEnd type="none" w="med" len="med"/>
                            <a:tailEnd type="triangle" w="med" len="med"/>
                          </a:ln>
                        </wps:spPr>
                        <wps:bodyPr upright="1"/>
                      </wps:wsp>
                      <wps:wsp>
                        <wps:cNvPr id="231" name="直接连接符 231"/>
                        <wps:cNvCnPr/>
                        <wps:spPr>
                          <a:xfrm>
                            <a:off x="13542" y="39674"/>
                            <a:ext cx="0" cy="487"/>
                          </a:xfrm>
                          <a:prstGeom prst="line">
                            <a:avLst/>
                          </a:prstGeom>
                          <a:ln w="9525" cap="flat" cmpd="sng">
                            <a:solidFill>
                              <a:srgbClr val="000000"/>
                            </a:solidFill>
                            <a:prstDash val="solid"/>
                            <a:headEnd type="none" w="med" len="med"/>
                            <a:tailEnd type="triangle" w="med" len="med"/>
                          </a:ln>
                        </wps:spPr>
                        <wps:bodyPr upright="1"/>
                      </wps:wsp>
                      <wps:wsp>
                        <wps:cNvPr id="232" name="直接连接符 232"/>
                        <wps:cNvCnPr/>
                        <wps:spPr>
                          <a:xfrm>
                            <a:off x="17937" y="39681"/>
                            <a:ext cx="0" cy="487"/>
                          </a:xfrm>
                          <a:prstGeom prst="line">
                            <a:avLst/>
                          </a:prstGeom>
                          <a:ln w="9525" cap="flat" cmpd="sng">
                            <a:solidFill>
                              <a:srgbClr val="000000"/>
                            </a:solidFill>
                            <a:prstDash val="solid"/>
                            <a:headEnd type="none" w="med" len="med"/>
                            <a:tailEnd type="triangle" w="med" len="med"/>
                          </a:ln>
                        </wps:spPr>
                        <wps:bodyPr upright="1"/>
                      </wps:wsp>
                      <wps:wsp>
                        <wps:cNvPr id="233" name="直接连接符 233"/>
                        <wps:cNvCnPr/>
                        <wps:spPr>
                          <a:xfrm>
                            <a:off x="19250" y="39661"/>
                            <a:ext cx="0" cy="487"/>
                          </a:xfrm>
                          <a:prstGeom prst="line">
                            <a:avLst/>
                          </a:prstGeom>
                          <a:ln w="9525" cap="flat" cmpd="sng">
                            <a:solidFill>
                              <a:srgbClr val="000000"/>
                            </a:solidFill>
                            <a:prstDash val="solid"/>
                            <a:headEnd type="none" w="med" len="med"/>
                            <a:tailEnd type="triangle" w="med" len="med"/>
                          </a:ln>
                        </wps:spPr>
                        <wps:bodyPr upright="1"/>
                      </wps:wsp>
                      <wps:wsp>
                        <wps:cNvPr id="234" name="直接连接符 234"/>
                        <wps:cNvCnPr/>
                        <wps:spPr>
                          <a:xfrm>
                            <a:off x="11950" y="40204"/>
                            <a:ext cx="0" cy="570"/>
                          </a:xfrm>
                          <a:prstGeom prst="line">
                            <a:avLst/>
                          </a:prstGeom>
                          <a:ln w="9525" cap="flat" cmpd="sng">
                            <a:solidFill>
                              <a:srgbClr val="000000"/>
                            </a:solidFill>
                            <a:prstDash val="solid"/>
                            <a:headEnd type="none" w="med" len="med"/>
                            <a:tailEnd type="none" w="med" len="med"/>
                          </a:ln>
                        </wps:spPr>
                        <wps:bodyPr upright="1"/>
                      </wps:wsp>
                      <wps:wsp>
                        <wps:cNvPr id="235" name="直接连接符 235"/>
                        <wps:cNvCnPr/>
                        <wps:spPr>
                          <a:xfrm>
                            <a:off x="19258" y="40128"/>
                            <a:ext cx="1" cy="615"/>
                          </a:xfrm>
                          <a:prstGeom prst="line">
                            <a:avLst/>
                          </a:prstGeom>
                          <a:ln w="9525" cap="flat" cmpd="sng">
                            <a:solidFill>
                              <a:srgbClr val="000000"/>
                            </a:solidFill>
                            <a:prstDash val="solid"/>
                            <a:headEnd type="none" w="med" len="med"/>
                            <a:tailEnd type="none" w="med" len="med"/>
                          </a:ln>
                        </wps:spPr>
                        <wps:bodyPr upright="1"/>
                      </wps:wsp>
                      <wps:wsp>
                        <wps:cNvPr id="236" name="直接连接符 236"/>
                        <wps:cNvCnPr/>
                        <wps:spPr>
                          <a:xfrm>
                            <a:off x="17921" y="40197"/>
                            <a:ext cx="0" cy="570"/>
                          </a:xfrm>
                          <a:prstGeom prst="line">
                            <a:avLst/>
                          </a:prstGeom>
                          <a:ln w="9525" cap="flat" cmpd="sng">
                            <a:solidFill>
                              <a:srgbClr val="000000"/>
                            </a:solidFill>
                            <a:prstDash val="solid"/>
                            <a:headEnd type="none" w="med" len="med"/>
                            <a:tailEnd type="none" w="med" len="med"/>
                          </a:ln>
                        </wps:spPr>
                        <wps:bodyPr upright="1"/>
                      </wps:wsp>
                      <wps:wsp>
                        <wps:cNvPr id="237" name="直接连接符 237"/>
                        <wps:cNvCnPr/>
                        <wps:spPr>
                          <a:xfrm>
                            <a:off x="13403" y="40197"/>
                            <a:ext cx="0" cy="570"/>
                          </a:xfrm>
                          <a:prstGeom prst="line">
                            <a:avLst/>
                          </a:prstGeom>
                          <a:ln w="9525" cap="flat" cmpd="sng">
                            <a:solidFill>
                              <a:srgbClr val="000000"/>
                            </a:solidFill>
                            <a:prstDash val="solid"/>
                            <a:headEnd type="none" w="med" len="med"/>
                            <a:tailEnd type="none" w="med" len="med"/>
                          </a:ln>
                        </wps:spPr>
                        <wps:bodyPr upright="1"/>
                      </wps:wsp>
                      <wps:wsp>
                        <wps:cNvPr id="238" name="直接连接符 238"/>
                        <wps:cNvCnPr/>
                        <wps:spPr>
                          <a:xfrm>
                            <a:off x="16415" y="40197"/>
                            <a:ext cx="0" cy="570"/>
                          </a:xfrm>
                          <a:prstGeom prst="line">
                            <a:avLst/>
                          </a:prstGeom>
                          <a:ln w="9525" cap="flat" cmpd="sng">
                            <a:solidFill>
                              <a:srgbClr val="000000"/>
                            </a:solidFill>
                            <a:prstDash val="solid"/>
                            <a:headEnd type="none" w="med" len="med"/>
                            <a:tailEnd type="none" w="med" len="med"/>
                          </a:ln>
                        </wps:spPr>
                        <wps:bodyPr upright="1"/>
                      </wps:wsp>
                      <wps:wsp>
                        <wps:cNvPr id="239" name="直接连接符 239"/>
                        <wps:cNvCnPr/>
                        <wps:spPr>
                          <a:xfrm>
                            <a:off x="11966" y="40774"/>
                            <a:ext cx="7293" cy="18"/>
                          </a:xfrm>
                          <a:prstGeom prst="line">
                            <a:avLst/>
                          </a:prstGeom>
                          <a:ln w="9525" cap="flat" cmpd="sng">
                            <a:solidFill>
                              <a:srgbClr val="000000"/>
                            </a:solidFill>
                            <a:prstDash val="solid"/>
                            <a:headEnd type="none" w="med" len="med"/>
                            <a:tailEnd type="none" w="med" len="med"/>
                          </a:ln>
                        </wps:spPr>
                        <wps:bodyPr upright="1"/>
                      </wps:wsp>
                      <wps:wsp>
                        <wps:cNvPr id="240" name="文本框 240"/>
                        <wps:cNvSpPr txBox="1"/>
                        <wps:spPr>
                          <a:xfrm>
                            <a:off x="12399" y="40197"/>
                            <a:ext cx="602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项目经理部责任成本目标</w:t>
                              </w:r>
                            </w:p>
                            <w:p>
                              <w:pPr>
                                <w:jc w:val="center"/>
                                <w:rPr>
                                  <w:rFonts w:hint="eastAsia"/>
                                  <w:sz w:val="15"/>
                                  <w:szCs w:val="15"/>
                                </w:rPr>
                              </w:pPr>
                              <w:r>
                                <w:rPr>
                                  <w:rFonts w:hint="eastAsia"/>
                                  <w:sz w:val="15"/>
                                  <w:szCs w:val="15"/>
                                </w:rPr>
                                <w:t>目标成本降低率</w:t>
                              </w:r>
                              <w:r>
                                <w:rPr>
                                  <w:rFonts w:hint="eastAsia" w:ascii="宋体"/>
                                  <w:sz w:val="15"/>
                                  <w:szCs w:val="15"/>
                                </w:rPr>
                                <w:t>≥</w:t>
                              </w:r>
                              <w:r>
                                <w:rPr>
                                  <w:rFonts w:hint="eastAsia"/>
                                  <w:sz w:val="15"/>
                                  <w:szCs w:val="15"/>
                                </w:rPr>
                                <w:t>公司下达任务成本降低率</w:t>
                              </w:r>
                            </w:p>
                          </w:txbxContent>
                        </wps:txbx>
                        <wps:bodyPr lIns="0" tIns="0" rIns="0" bIns="0" upright="1"/>
                      </wps:wsp>
                      <wps:wsp>
                        <wps:cNvPr id="241" name="文本框 241"/>
                        <wps:cNvSpPr txBox="1"/>
                        <wps:spPr>
                          <a:xfrm>
                            <a:off x="12399" y="42261"/>
                            <a:ext cx="602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反复测算</w:t>
                              </w:r>
                              <w:r>
                                <w:rPr>
                                  <w:sz w:val="15"/>
                                  <w:szCs w:val="15"/>
                                </w:rPr>
                                <w:t>、</w:t>
                              </w:r>
                              <w:r>
                                <w:rPr>
                                  <w:rFonts w:hint="eastAsia"/>
                                  <w:sz w:val="15"/>
                                  <w:szCs w:val="15"/>
                                </w:rPr>
                                <w:t>修订平衡</w:t>
                              </w:r>
                            </w:p>
                            <w:p>
                              <w:pPr>
                                <w:jc w:val="center"/>
                                <w:rPr>
                                  <w:rFonts w:hint="eastAsia"/>
                                  <w:sz w:val="15"/>
                                  <w:szCs w:val="15"/>
                                </w:rPr>
                              </w:pPr>
                              <w:r>
                                <w:rPr>
                                  <w:rFonts w:hint="eastAsia"/>
                                  <w:sz w:val="15"/>
                                  <w:szCs w:val="15"/>
                                </w:rPr>
                                <w:t>横向分解到各部门、岗位，纵向分解到分部分项工程，直至班组</w:t>
                              </w:r>
                            </w:p>
                          </w:txbxContent>
                        </wps:txbx>
                        <wps:bodyPr lIns="0" tIns="0" rIns="0" bIns="0" upright="1"/>
                      </wps:wsp>
                      <wps:wsp>
                        <wps:cNvPr id="242" name="文本框 242"/>
                        <wps:cNvSpPr txBox="1"/>
                        <wps:spPr>
                          <a:xfrm>
                            <a:off x="12399" y="41229"/>
                            <a:ext cx="602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 xml:space="preserve">目标成本分解 </w:t>
                              </w:r>
                            </w:p>
                            <w:p>
                              <w:pPr>
                                <w:jc w:val="center"/>
                                <w:rPr>
                                  <w:rFonts w:hint="eastAsia"/>
                                  <w:sz w:val="15"/>
                                  <w:szCs w:val="15"/>
                                </w:rPr>
                              </w:pPr>
                              <w:r>
                                <w:rPr>
                                  <w:rFonts w:hint="eastAsia"/>
                                  <w:sz w:val="15"/>
                                  <w:szCs w:val="15"/>
                                </w:rPr>
                                <w:t>编制项目总成本计划</w:t>
                              </w:r>
                              <w:r>
                                <w:rPr>
                                  <w:sz w:val="15"/>
                                  <w:szCs w:val="15"/>
                                </w:rPr>
                                <w:t>、</w:t>
                              </w:r>
                              <w:r>
                                <w:rPr>
                                  <w:rFonts w:hint="eastAsia"/>
                                  <w:sz w:val="15"/>
                                  <w:szCs w:val="15"/>
                                </w:rPr>
                                <w:t xml:space="preserve">各级各部门成本计划 </w:t>
                              </w:r>
                            </w:p>
                          </w:txbxContent>
                        </wps:txbx>
                        <wps:bodyPr lIns="0" tIns="0" rIns="0" bIns="0" upright="1"/>
                      </wps:wsp>
                      <wps:wsp>
                        <wps:cNvPr id="243" name="文本框 243"/>
                        <wps:cNvSpPr txBox="1"/>
                        <wps:spPr>
                          <a:xfrm>
                            <a:off x="12399" y="43347"/>
                            <a:ext cx="602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工程进度、质量、安全实行成本控制</w:t>
                              </w:r>
                            </w:p>
                            <w:p>
                              <w:pPr>
                                <w:jc w:val="center"/>
                                <w:rPr>
                                  <w:rFonts w:hint="eastAsia"/>
                                  <w:sz w:val="15"/>
                                  <w:szCs w:val="15"/>
                                </w:rPr>
                              </w:pPr>
                              <w:r>
                                <w:rPr>
                                  <w:rFonts w:hint="eastAsia"/>
                                  <w:sz w:val="15"/>
                                  <w:szCs w:val="15"/>
                                </w:rPr>
                                <w:t>各部门确定降低成本措施、落实控制责任</w:t>
                              </w:r>
                            </w:p>
                          </w:txbxContent>
                        </wps:txbx>
                        <wps:bodyPr lIns="0" tIns="0" rIns="0" bIns="0" upright="1"/>
                      </wps:wsp>
                      <wps:wsp>
                        <wps:cNvPr id="244" name="文本框 244"/>
                        <wps:cNvSpPr txBox="1"/>
                        <wps:spPr>
                          <a:xfrm>
                            <a:off x="12399" y="44429"/>
                            <a:ext cx="6024" cy="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检查成本计划完成情况、监督费用支出</w:t>
                              </w:r>
                            </w:p>
                            <w:p>
                              <w:pPr>
                                <w:jc w:val="center"/>
                                <w:rPr>
                                  <w:rFonts w:hint="eastAsia"/>
                                  <w:sz w:val="15"/>
                                  <w:szCs w:val="15"/>
                                </w:rPr>
                              </w:pPr>
                              <w:r>
                                <w:rPr>
                                  <w:rFonts w:hint="eastAsia"/>
                                  <w:sz w:val="15"/>
                                  <w:szCs w:val="15"/>
                                </w:rPr>
                                <w:t>建立成本台帐、防止超支现象发生、及时纠正不利偏差</w:t>
                              </w:r>
                            </w:p>
                          </w:txbxContent>
                        </wps:txbx>
                        <wps:bodyPr lIns="0" tIns="0" rIns="0" bIns="0" upright="1"/>
                      </wps:wsp>
                      <wps:wsp>
                        <wps:cNvPr id="245" name="文本框 245"/>
                        <wps:cNvSpPr txBox="1"/>
                        <wps:spPr>
                          <a:xfrm>
                            <a:off x="12399" y="46710"/>
                            <a:ext cx="602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竣工工程成本考核、总结</w:t>
                              </w:r>
                            </w:p>
                            <w:p>
                              <w:pPr>
                                <w:jc w:val="center"/>
                                <w:rPr>
                                  <w:rFonts w:hint="eastAsia"/>
                                  <w:sz w:val="15"/>
                                  <w:szCs w:val="15"/>
                                </w:rPr>
                              </w:pPr>
                              <w:r>
                                <w:rPr>
                                  <w:rFonts w:hint="eastAsia"/>
                                  <w:sz w:val="15"/>
                                  <w:szCs w:val="15"/>
                                </w:rPr>
                                <w:t xml:space="preserve">为以后的同类施工项目提供预测资料 </w:t>
                              </w:r>
                            </w:p>
                          </w:txbxContent>
                        </wps:txbx>
                        <wps:bodyPr lIns="0" tIns="0" rIns="0" bIns="0" upright="1"/>
                      </wps:wsp>
                      <wps:wsp>
                        <wps:cNvPr id="246" name="文本框 246"/>
                        <wps:cNvSpPr txBox="1"/>
                        <wps:spPr>
                          <a:xfrm>
                            <a:off x="12399" y="45678"/>
                            <a:ext cx="6024" cy="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中 间 考 核</w:t>
                              </w:r>
                            </w:p>
                            <w:p>
                              <w:pPr>
                                <w:jc w:val="center"/>
                                <w:rPr>
                                  <w:rFonts w:hint="eastAsia"/>
                                  <w:sz w:val="15"/>
                                  <w:szCs w:val="15"/>
                                </w:rPr>
                              </w:pPr>
                              <w:r>
                                <w:rPr>
                                  <w:rFonts w:hint="eastAsia"/>
                                  <w:sz w:val="15"/>
                                  <w:szCs w:val="15"/>
                                </w:rPr>
                                <w:t>及时信息反馈，按月（年、季）度考核、评价、奖罚</w:t>
                              </w:r>
                            </w:p>
                          </w:txbxContent>
                        </wps:txbx>
                        <wps:bodyPr lIns="0" tIns="0" rIns="0" bIns="0" upright="1"/>
                      </wps:wsp>
                      <wps:wsp>
                        <wps:cNvPr id="247" name="直接连接符 247"/>
                        <wps:cNvCnPr/>
                        <wps:spPr>
                          <a:xfrm flipH="1">
                            <a:off x="15225" y="41973"/>
                            <a:ext cx="7" cy="304"/>
                          </a:xfrm>
                          <a:prstGeom prst="line">
                            <a:avLst/>
                          </a:prstGeom>
                          <a:ln w="9525" cap="flat" cmpd="sng">
                            <a:solidFill>
                              <a:srgbClr val="000000"/>
                            </a:solidFill>
                            <a:prstDash val="solid"/>
                            <a:headEnd type="none" w="med" len="med"/>
                            <a:tailEnd type="triangle" w="med" len="med"/>
                          </a:ln>
                        </wps:spPr>
                        <wps:bodyPr upright="1"/>
                      </wps:wsp>
                      <wps:wsp>
                        <wps:cNvPr id="248" name="直接连接符 248"/>
                        <wps:cNvCnPr/>
                        <wps:spPr>
                          <a:xfrm>
                            <a:off x="10964" y="38638"/>
                            <a:ext cx="251" cy="0"/>
                          </a:xfrm>
                          <a:prstGeom prst="line">
                            <a:avLst/>
                          </a:prstGeom>
                          <a:ln w="9525" cap="flat" cmpd="sng">
                            <a:solidFill>
                              <a:srgbClr val="000000"/>
                            </a:solidFill>
                            <a:prstDash val="solid"/>
                            <a:headEnd type="none" w="med" len="med"/>
                            <a:tailEnd type="triangle" w="med" len="med"/>
                          </a:ln>
                        </wps:spPr>
                        <wps:bodyPr upright="1"/>
                      </wps:wsp>
                      <wps:wsp>
                        <wps:cNvPr id="249" name="直接连接符 249"/>
                        <wps:cNvCnPr/>
                        <wps:spPr>
                          <a:xfrm flipH="1">
                            <a:off x="15243" y="40943"/>
                            <a:ext cx="7" cy="304"/>
                          </a:xfrm>
                          <a:prstGeom prst="line">
                            <a:avLst/>
                          </a:prstGeom>
                          <a:ln w="9525" cap="flat" cmpd="sng">
                            <a:solidFill>
                              <a:srgbClr val="000000"/>
                            </a:solidFill>
                            <a:prstDash val="solid"/>
                            <a:headEnd type="none" w="med" len="med"/>
                            <a:tailEnd type="triangle" w="med" len="med"/>
                          </a:ln>
                        </wps:spPr>
                        <wps:bodyPr upright="1"/>
                      </wps:wsp>
                      <wps:wsp>
                        <wps:cNvPr id="250" name="直接连接符 250"/>
                        <wps:cNvCnPr/>
                        <wps:spPr>
                          <a:xfrm flipH="1">
                            <a:off x="15219" y="43013"/>
                            <a:ext cx="7" cy="304"/>
                          </a:xfrm>
                          <a:prstGeom prst="line">
                            <a:avLst/>
                          </a:prstGeom>
                          <a:ln w="9525" cap="flat" cmpd="sng">
                            <a:solidFill>
                              <a:srgbClr val="000000"/>
                            </a:solidFill>
                            <a:prstDash val="solid"/>
                            <a:headEnd type="none" w="med" len="med"/>
                            <a:tailEnd type="triangle" w="med" len="med"/>
                          </a:ln>
                        </wps:spPr>
                        <wps:bodyPr upright="1"/>
                      </wps:wsp>
                      <wps:wsp>
                        <wps:cNvPr id="251" name="直接连接符 251"/>
                        <wps:cNvCnPr/>
                        <wps:spPr>
                          <a:xfrm flipH="1">
                            <a:off x="15204" y="44113"/>
                            <a:ext cx="7" cy="304"/>
                          </a:xfrm>
                          <a:prstGeom prst="line">
                            <a:avLst/>
                          </a:prstGeom>
                          <a:ln w="9525" cap="flat" cmpd="sng">
                            <a:solidFill>
                              <a:srgbClr val="000000"/>
                            </a:solidFill>
                            <a:prstDash val="solid"/>
                            <a:headEnd type="none" w="med" len="med"/>
                            <a:tailEnd type="triangle" w="med" len="med"/>
                          </a:ln>
                        </wps:spPr>
                        <wps:bodyPr upright="1"/>
                      </wps:wsp>
                      <wps:wsp>
                        <wps:cNvPr id="252" name="直接连接符 252"/>
                        <wps:cNvCnPr/>
                        <wps:spPr>
                          <a:xfrm flipH="1">
                            <a:off x="15227" y="45398"/>
                            <a:ext cx="7" cy="304"/>
                          </a:xfrm>
                          <a:prstGeom prst="line">
                            <a:avLst/>
                          </a:prstGeom>
                          <a:ln w="9525" cap="flat" cmpd="sng">
                            <a:solidFill>
                              <a:srgbClr val="000000"/>
                            </a:solidFill>
                            <a:prstDash val="solid"/>
                            <a:headEnd type="none" w="med" len="med"/>
                            <a:tailEnd type="triangle" w="med" len="med"/>
                          </a:ln>
                        </wps:spPr>
                        <wps:bodyPr upright="1"/>
                      </wps:wsp>
                      <wps:wsp>
                        <wps:cNvPr id="253" name="直接连接符 253"/>
                        <wps:cNvCnPr/>
                        <wps:spPr>
                          <a:xfrm flipH="1">
                            <a:off x="15229" y="46438"/>
                            <a:ext cx="7" cy="304"/>
                          </a:xfrm>
                          <a:prstGeom prst="line">
                            <a:avLst/>
                          </a:prstGeom>
                          <a:ln w="9525" cap="flat" cmpd="sng">
                            <a:solidFill>
                              <a:srgbClr val="000000"/>
                            </a:solidFill>
                            <a:prstDash val="solid"/>
                            <a:headEnd type="none" w="med" len="med"/>
                            <a:tailEnd type="triangle" w="med" len="med"/>
                          </a:ln>
                        </wps:spPr>
                        <wps:bodyPr upright="1"/>
                      </wps:wsp>
                    </wpg:wgp>
                  </a:graphicData>
                </a:graphic>
              </wp:anchor>
            </w:drawing>
          </mc:Choice>
          <mc:Fallback>
            <w:pict>
              <v:group id="_x0000_s1026" o:spid="_x0000_s1026" o:spt="203" style="position:absolute;left:0pt;margin-left:-50.25pt;margin-top:7.95pt;height:456.3pt;width:475.6pt;z-index:251666432;mso-width-relative:page;mso-height-relative:page;" coordorigin="10248,38344" coordsize="9512,9126" o:gfxdata="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">
                <o:lock v:ext="edit" aspectratio="f"/>
                <v:shape id="_x0000_s1026" o:spid="_x0000_s1026" o:spt="202" type="#_x0000_t202" style="position:absolute;left:11457;top:38900;height:760;width:1004;" fillcolor="#FFFFFF" filled="t" stroked="t" coordsize="21600,21600" o:gfxdata="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sVW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市场调查预测</w:t>
                        </w:r>
                      </w:p>
                    </w:txbxContent>
                  </v:textbox>
                </v:shape>
                <v:shape id="_x0000_s1026" o:spid="_x0000_s1026" o:spt="202" type="#_x0000_t202" style="position:absolute;left:12840;top:38359;height:760;width:1349;" fillcolor="#FFFFFF" filled="t" stroked="t" coordsize="21600,21600" o:gfxdata="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f10i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项目成本预(估)算</w:t>
                        </w:r>
                      </w:p>
                      <w:p>
                        <w:pPr>
                          <w:spacing w:line="240" w:lineRule="atLeast"/>
                          <w:rPr>
                            <w:rFonts w:hint="eastAsia"/>
                            <w:sz w:val="15"/>
                            <w:szCs w:val="15"/>
                          </w:rPr>
                        </w:pPr>
                      </w:p>
                    </w:txbxContent>
                  </v:textbox>
                </v:shape>
                <v:shape id="_x0000_s1026" o:spid="_x0000_s1026" o:spt="202" type="#_x0000_t202" style="position:absolute;left:14469;top:38352;height:760;width:1004;" fillcolor="#FFFFFF" filled="t" stroked="t" coordsize="21600,21600" o:gfxdata="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M/i5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项目投标承包</w:t>
                        </w:r>
                      </w:p>
                    </w:txbxContent>
                  </v:textbox>
                </v:shape>
                <v:shape id="_x0000_s1026" o:spid="_x0000_s1026" o:spt="202" type="#_x0000_t202" style="position:absolute;left:18756;top:38344;height:760;width:1004;" fillcolor="#FFFFFF" filled="t" stroked="t" coordsize="21600,21600" o:gfxdata="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hZs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增收节约途径</w:t>
                        </w:r>
                      </w:p>
                    </w:txbxContent>
                  </v:textbox>
                </v:shape>
                <v:shape id="_x0000_s1026" o:spid="_x0000_s1026" o:spt="202" type="#_x0000_t202" style="position:absolute;left:17427;top:38352;height:760;width:1004;" fillcolor="#FFFFFF" filled="t" stroked="t" coordsize="21600,21600" o:gfxdata="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rcNV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制造成本核定</w:t>
                        </w:r>
                      </w:p>
                    </w:txbxContent>
                  </v:textbox>
                </v:shape>
                <v:shape id="_x0000_s1026" o:spid="_x0000_s1026" o:spt="202" type="#_x0000_t202" style="position:absolute;left:15813;top:38344;height:760;width:1280;" fillcolor="#FFFFFF" filled="t" stroked="t" coordsize="21600,21600" o:gfxdata="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oyVye5AAAA3A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公司利润目标</w:t>
                        </w:r>
                      </w:p>
                    </w:txbxContent>
                  </v:textbox>
                </v:shape>
                <v:shape id="_x0000_s1026" o:spid="_x0000_s1026" o:spt="202" type="#_x0000_t202" style="position:absolute;left:12840;top:38900;height:760;width:1350;" fillcolor="#FFFFFF" filled="t" stroked="t" coordsize="21600,21600" o:gfxdata="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8r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对分包成本预(估)算</w:t>
                        </w:r>
                      </w:p>
                    </w:txbxContent>
                  </v:textbox>
                </v:shape>
                <v:shape id="_x0000_s1026" o:spid="_x0000_s1026" o:spt="202" type="#_x0000_t202" style="position:absolute;left:14469;top:38900;height:760;width:1004;" fillcolor="#FFFFFF" filled="t" stroked="t" coordsize="21600,21600" o:gfxdata="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iiRn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0mm,0mm,0mm,0mm">
                    <w:txbxContent>
                      <w:p>
                        <w:pPr>
                          <w:spacing w:line="240" w:lineRule="atLeast"/>
                          <w:jc w:val="both"/>
                          <w:rPr>
                            <w:rFonts w:hint="eastAsia"/>
                            <w:sz w:val="15"/>
                            <w:szCs w:val="15"/>
                          </w:rPr>
                        </w:pPr>
                        <w:r>
                          <w:rPr>
                            <w:rFonts w:hint="eastAsia"/>
                            <w:sz w:val="15"/>
                            <w:szCs w:val="15"/>
                          </w:rPr>
                          <w:t>对分包招标</w:t>
                        </w:r>
                      </w:p>
                    </w:txbxContent>
                  </v:textbox>
                </v:shape>
                <v:shape id="_x0000_s1026" o:spid="_x0000_s1026" o:spt="202" type="#_x0000_t202" style="position:absolute;left:15813;top:38892;height:760;width:1281;" fillcolor="#FFFFFF" filled="t" stroked="t" coordsize="21600,21600" o:gfxdata="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ZDQH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同类项目成本水平</w:t>
                        </w:r>
                      </w:p>
                    </w:txbxContent>
                  </v:textbox>
                </v:shape>
                <v:shape id="_x0000_s1026" o:spid="_x0000_s1026" o:spt="202" type="#_x0000_t202" style="position:absolute;left:17427;top:38900;height:760;width:1004;" fillcolor="#FFFFFF" filled="t" stroked="t" coordsize="21600,21600" o:gfxdata="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2qn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成本实施计划</w:t>
                        </w:r>
                      </w:p>
                    </w:txbxContent>
                  </v:textbox>
                </v:shape>
                <v:shape id="_x0000_s1026" o:spid="_x0000_s1026" o:spt="202" type="#_x0000_t202" style="position:absolute;left:18756;top:38892;height:760;width:1004;" fillcolor="#FFFFFF" filled="t" stroked="t" coordsize="21600,21600" o:gfxdata="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g/r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增收节约途径</w:t>
                        </w:r>
                      </w:p>
                    </w:txbxContent>
                  </v:textbox>
                </v:shape>
                <v:shape id="_x0000_s1026" o:spid="_x0000_s1026" o:spt="202" type="#_x0000_t202" style="position:absolute;left:10286;top:39115;height:453;width:620;" fillcolor="#FFFFFF" filled="t" stroked="t" coordsize="21600,21600" o:gfxdata="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7JoRvQAA&#10;ANwAAAAPAAAAAAAAAAEAIAAAACIAAABkcnMvZG93bnJldi54bWxQSwECFAAUAAAACACHTuJAMy8F&#10;njsAAAA5AAAAEAAAAAAAAAABACAAAAAMAQAAZHJzL3NoYXBleG1sLnhtbFBLBQYAAAAABgAGAFsB&#10;AAC2AwAAAAA=&#10;">
                  <v:fill on="t" focussize="0,0"/>
                  <v:stroke color="#FFFFFF" joinstyle="miter"/>
                  <v:imagedata o:title=""/>
                  <o:lock v:ext="edit" aspectratio="f"/>
                  <v:textbox inset="0mm,0mm,0mm,0mm">
                    <w:txbxContent>
                      <w:p>
                        <w:pPr>
                          <w:spacing w:line="240" w:lineRule="atLeast"/>
                          <w:rPr>
                            <w:rFonts w:hint="eastAsia"/>
                            <w:sz w:val="15"/>
                            <w:szCs w:val="15"/>
                          </w:rPr>
                        </w:pPr>
                        <w:r>
                          <w:rPr>
                            <w:rFonts w:hint="eastAsia"/>
                            <w:sz w:val="15"/>
                            <w:szCs w:val="15"/>
                          </w:rPr>
                          <w:t xml:space="preserve"> 项目</w:t>
                        </w:r>
                      </w:p>
                    </w:txbxContent>
                  </v:textbox>
                </v:shape>
                <v:shape id="_x0000_s1026" o:spid="_x0000_s1026" o:spt="202" type="#_x0000_t202" style="position:absolute;left:11457;top:38369;height:760;width:1004;" fillcolor="#FFFFFF" filled="t" stroked="t" coordsize="21600,21600" o:gfxdata="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XzIE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spacing w:line="240" w:lineRule="atLeast"/>
                          <w:jc w:val="center"/>
                          <w:rPr>
                            <w:rFonts w:hint="eastAsia"/>
                            <w:sz w:val="15"/>
                            <w:szCs w:val="15"/>
                          </w:rPr>
                        </w:pPr>
                        <w:r>
                          <w:rPr>
                            <w:rFonts w:hint="eastAsia"/>
                            <w:sz w:val="15"/>
                            <w:szCs w:val="15"/>
                          </w:rPr>
                          <w:t>项目跟踪预测</w:t>
                        </w:r>
                      </w:p>
                    </w:txbxContent>
                  </v:textbox>
                </v:shape>
                <v:line id="_x0000_s1026" o:spid="_x0000_s1026" o:spt="20" style="position:absolute;left:10993;top:39305;height:0;width:251;" filled="f" stroked="t" coordsize="21600,21600" o:gfxdata="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aI/kW/&#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10248;top:38444;height:378;width:551;" fillcolor="#FFFFFF" filled="t" stroked="t" coordsize="21600,21600" o:gfxdata="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w+BGa/&#10;AAAA3AAAAA8AAAAAAAAAAQAgAAAAIgAAAGRycy9kb3ducmV2LnhtbFBLAQIUABQAAAAIAIdO4kAz&#10;LwWeOwAAADkAAAAQAAAAAAAAAAEAIAAAAA4BAABkcnMvc2hhcGV4bWwueG1sUEsFBgAAAAAGAAYA&#10;WwEAALgDAAAAAA==&#10;">
                  <v:fill on="t" focussize="0,0"/>
                  <v:stroke color="#FFFFFF" joinstyle="miter"/>
                  <v:imagedata o:title=""/>
                  <o:lock v:ext="edit" aspectratio="f"/>
                  <v:textbox inset="0mm,0mm,0mm,0mm">
                    <w:txbxContent>
                      <w:p>
                        <w:pPr>
                          <w:spacing w:line="240" w:lineRule="atLeast"/>
                          <w:rPr>
                            <w:rFonts w:hint="eastAsia"/>
                            <w:sz w:val="15"/>
                            <w:szCs w:val="15"/>
                          </w:rPr>
                        </w:pPr>
                        <w:r>
                          <w:rPr>
                            <w:rFonts w:hint="eastAsia"/>
                            <w:sz w:val="15"/>
                            <w:szCs w:val="15"/>
                          </w:rPr>
                          <w:t xml:space="preserve"> 公司</w:t>
                        </w:r>
                      </w:p>
                    </w:txbxContent>
                  </v:textbox>
                </v:shape>
                <v:line id="_x0000_s1026" o:spid="_x0000_s1026" o:spt="20" style="position:absolute;left:11959;top:39720;height:487;width:0;" filled="f" stroked="t" coordsize="21600,21600" o:gfxdata="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bz6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14971;top:39704;height:487;width:0;" filled="f" stroked="t" coordsize="21600,21600" o:gfxdata="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F2o3&#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_x0000_s1026" o:spid="_x0000_s1026" o:spt="20" style="position:absolute;left:16461;top:39658;height:487;width:0;" filled="f" stroked="t" coordsize="21600,21600" o:gfxdata="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0VX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13542;top:39674;height:487;width:0;" filled="f" stroked="t" coordsize="21600,21600" o:gfxdata="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48Oy/&#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7937;top:39681;height:487;width:0;" filled="f" stroked="t" coordsize="21600,21600" o:gfxdata="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am6b&#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_x0000_s1026" o:spid="_x0000_s1026" o:spt="20" style="position:absolute;left:19250;top:39661;height:487;width:0;" filled="f" stroked="t" coordsize="21600,21600" o:gfxdata="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mywC/&#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1950;top:40204;height:570;width:0;" filled="f" stroked="t" coordsize="21600,21600" o:gfxdata="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jzTl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9258;top:40128;height:615;width:1;" filled="f" stroked="t" coordsize="21600,21600" o:gfxdata="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w5F+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7921;top:40197;height:570;width:0;" filled="f" stroked="t" coordsize="21600,21600" o:gfxdata="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EQ8J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3403;top:40197;height:570;width:0;" filled="f" stroked="t" coordsize="21600,21600" o:gfxdata="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qS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6415;top:40197;height:570;width:0;" filled="f" stroked="t" coordsize="21600,21600" o:gfxdata="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CPuC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11966;top:40774;height:18;width:7293;" filled="f" stroked="t" coordsize="21600,21600" o:gfxdata="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jpt7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_x0000_s1026" o:spid="_x0000_s1026" o:spt="202" type="#_x0000_t202" style="position:absolute;left:12399;top:40197;height:760;width:6024;" fillcolor="#FFFFFF" filled="t" stroked="t" coordsize="21600,21600" o:gfxdata="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d0P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项目经理部责任成本目标</w:t>
                        </w:r>
                      </w:p>
                      <w:p>
                        <w:pPr>
                          <w:jc w:val="center"/>
                          <w:rPr>
                            <w:rFonts w:hint="eastAsia"/>
                            <w:sz w:val="15"/>
                            <w:szCs w:val="15"/>
                          </w:rPr>
                        </w:pPr>
                        <w:r>
                          <w:rPr>
                            <w:rFonts w:hint="eastAsia"/>
                            <w:sz w:val="15"/>
                            <w:szCs w:val="15"/>
                          </w:rPr>
                          <w:t>目标成本降低率</w:t>
                        </w:r>
                        <w:r>
                          <w:rPr>
                            <w:rFonts w:hint="eastAsia" w:ascii="宋体"/>
                            <w:sz w:val="15"/>
                            <w:szCs w:val="15"/>
                          </w:rPr>
                          <w:t>≥</w:t>
                        </w:r>
                        <w:r>
                          <w:rPr>
                            <w:rFonts w:hint="eastAsia"/>
                            <w:sz w:val="15"/>
                            <w:szCs w:val="15"/>
                          </w:rPr>
                          <w:t>公司下达任务成本降低率</w:t>
                        </w:r>
                      </w:p>
                    </w:txbxContent>
                  </v:textbox>
                </v:shape>
                <v:shape id="_x0000_s1026" o:spid="_x0000_s1026" o:spt="202" type="#_x0000_t202" style="position:absolute;left:12399;top:42261;height:760;width:6024;" fillcolor="#FFFFFF" filled="t" stroked="t" coordsize="21600,21600" o:gfxdata="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u9G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反复测算</w:t>
                        </w:r>
                        <w:r>
                          <w:rPr>
                            <w:sz w:val="15"/>
                            <w:szCs w:val="15"/>
                          </w:rPr>
                          <w:t>、</w:t>
                        </w:r>
                        <w:r>
                          <w:rPr>
                            <w:rFonts w:hint="eastAsia"/>
                            <w:sz w:val="15"/>
                            <w:szCs w:val="15"/>
                          </w:rPr>
                          <w:t>修订平衡</w:t>
                        </w:r>
                      </w:p>
                      <w:p>
                        <w:pPr>
                          <w:jc w:val="center"/>
                          <w:rPr>
                            <w:rFonts w:hint="eastAsia"/>
                            <w:sz w:val="15"/>
                            <w:szCs w:val="15"/>
                          </w:rPr>
                        </w:pPr>
                        <w:r>
                          <w:rPr>
                            <w:rFonts w:hint="eastAsia"/>
                            <w:sz w:val="15"/>
                            <w:szCs w:val="15"/>
                          </w:rPr>
                          <w:t>横向分解到各部门、岗位，纵向分解到分部分项工程，直至班组</w:t>
                        </w:r>
                      </w:p>
                    </w:txbxContent>
                  </v:textbox>
                </v:shape>
                <v:shape id="_x0000_s1026" o:spid="_x0000_s1026" o:spt="202" type="#_x0000_t202" style="position:absolute;left:12399;top:41229;height:760;width:6024;" fillcolor="#FFFFFF" filled="t" stroked="t" coordsize="21600,21600" o:gfxdata="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aU/Q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 xml:space="preserve">目标成本分解 </w:t>
                        </w:r>
                      </w:p>
                      <w:p>
                        <w:pPr>
                          <w:jc w:val="center"/>
                          <w:rPr>
                            <w:rFonts w:hint="eastAsia"/>
                            <w:sz w:val="15"/>
                            <w:szCs w:val="15"/>
                          </w:rPr>
                        </w:pPr>
                        <w:r>
                          <w:rPr>
                            <w:rFonts w:hint="eastAsia"/>
                            <w:sz w:val="15"/>
                            <w:szCs w:val="15"/>
                          </w:rPr>
                          <w:t>编制项目总成本计划</w:t>
                        </w:r>
                        <w:r>
                          <w:rPr>
                            <w:sz w:val="15"/>
                            <w:szCs w:val="15"/>
                          </w:rPr>
                          <w:t>、</w:t>
                        </w:r>
                        <w:r>
                          <w:rPr>
                            <w:rFonts w:hint="eastAsia"/>
                            <w:sz w:val="15"/>
                            <w:szCs w:val="15"/>
                          </w:rPr>
                          <w:t xml:space="preserve">各级各部门成本计划 </w:t>
                        </w:r>
                      </w:p>
                    </w:txbxContent>
                  </v:textbox>
                </v:shape>
                <v:shape id="_x0000_s1026" o:spid="_x0000_s1026" o:spt="202" type="#_x0000_t202" style="position:absolute;left:12399;top:43347;height:760;width:6024;" fillcolor="#FFFFFF" filled="t" stroked="t" coordsize="21600,21600" o:gfxdata="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yXqS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工程进度、质量、安全实行成本控制</w:t>
                        </w:r>
                      </w:p>
                      <w:p>
                        <w:pPr>
                          <w:jc w:val="center"/>
                          <w:rPr>
                            <w:rFonts w:hint="eastAsia"/>
                            <w:sz w:val="15"/>
                            <w:szCs w:val="15"/>
                          </w:rPr>
                        </w:pPr>
                        <w:r>
                          <w:rPr>
                            <w:rFonts w:hint="eastAsia"/>
                            <w:sz w:val="15"/>
                            <w:szCs w:val="15"/>
                          </w:rPr>
                          <w:t>各部门确定降低成本措施、落实控制责任</w:t>
                        </w:r>
                      </w:p>
                    </w:txbxContent>
                  </v:textbox>
                </v:shape>
                <v:shape id="_x0000_s1026" o:spid="_x0000_s1026" o:spt="202" type="#_x0000_t202" style="position:absolute;left:12399;top:44429;height:950;width:6024;" fillcolor="#FFFFFF" filled="t" stroked="t" coordsize="21600,21600" o:gfxdata="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MxyP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检查成本计划完成情况、监督费用支出</w:t>
                        </w:r>
                      </w:p>
                      <w:p>
                        <w:pPr>
                          <w:jc w:val="center"/>
                          <w:rPr>
                            <w:rFonts w:hint="eastAsia"/>
                            <w:sz w:val="15"/>
                            <w:szCs w:val="15"/>
                          </w:rPr>
                        </w:pPr>
                        <w:r>
                          <w:rPr>
                            <w:rFonts w:hint="eastAsia"/>
                            <w:sz w:val="15"/>
                            <w:szCs w:val="15"/>
                          </w:rPr>
                          <w:t>建立成本台帐、防止超支现象发生、及时纠正不利偏差</w:t>
                        </w:r>
                      </w:p>
                    </w:txbxContent>
                  </v:textbox>
                </v:shape>
                <v:shape id="_x0000_s1026" o:spid="_x0000_s1026" o:spt="202" type="#_x0000_t202" style="position:absolute;left:12399;top:46710;height:760;width:6024;" fillcolor="#FFFFFF" filled="t" stroked="t" coordsize="21600,21600" o:gfxdata="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4DXp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竣工工程成本考核、总结</w:t>
                        </w:r>
                      </w:p>
                      <w:p>
                        <w:pPr>
                          <w:jc w:val="center"/>
                          <w:rPr>
                            <w:rFonts w:hint="eastAsia"/>
                            <w:sz w:val="15"/>
                            <w:szCs w:val="15"/>
                          </w:rPr>
                        </w:pPr>
                        <w:r>
                          <w:rPr>
                            <w:rFonts w:hint="eastAsia"/>
                            <w:sz w:val="15"/>
                            <w:szCs w:val="15"/>
                          </w:rPr>
                          <w:t xml:space="preserve">为以后的同类施工项目提供预测资料 </w:t>
                        </w:r>
                      </w:p>
                    </w:txbxContent>
                  </v:textbox>
                </v:shape>
                <v:shape id="_x0000_s1026" o:spid="_x0000_s1026" o:spt="202" type="#_x0000_t202" style="position:absolute;left:12399;top:45678;height:760;width:6024;" fillcolor="#FFFFFF" filled="t" stroked="t" coordsize="21600,21600" o:gfxdata="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1JJ0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pPr>
                          <w:jc w:val="center"/>
                          <w:rPr>
                            <w:rFonts w:hint="eastAsia"/>
                            <w:sz w:val="15"/>
                            <w:szCs w:val="15"/>
                          </w:rPr>
                        </w:pPr>
                        <w:r>
                          <w:rPr>
                            <w:rFonts w:hint="eastAsia"/>
                            <w:sz w:val="15"/>
                            <w:szCs w:val="15"/>
                          </w:rPr>
                          <w:t>中 间 考 核</w:t>
                        </w:r>
                      </w:p>
                      <w:p>
                        <w:pPr>
                          <w:jc w:val="center"/>
                          <w:rPr>
                            <w:rFonts w:hint="eastAsia"/>
                            <w:sz w:val="15"/>
                            <w:szCs w:val="15"/>
                          </w:rPr>
                        </w:pPr>
                        <w:r>
                          <w:rPr>
                            <w:rFonts w:hint="eastAsia"/>
                            <w:sz w:val="15"/>
                            <w:szCs w:val="15"/>
                          </w:rPr>
                          <w:t>及时信息反馈，按月（年、季）度考核、评价、奖罚</w:t>
                        </w:r>
                      </w:p>
                    </w:txbxContent>
                  </v:textbox>
                </v:shape>
                <v:line id="_x0000_s1026" o:spid="_x0000_s1026" o:spt="20" style="position:absolute;left:15225;top:41973;flip:x;height:304;width:7;" filled="f" stroked="t" coordsize="21600,21600" o:gfxdata="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pbLO&#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_x0000_s1026" o:spid="_x0000_s1026" o:spt="20" style="position:absolute;left:10964;top:38638;height:0;width:251;" filled="f" stroked="t" coordsize="21600,21600" o:gfxdata="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WEKg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15243;top:40943;flip:x;height:304;width:7;" filled="f" stroked="t" coordsize="21600,21600" o:gfxdata="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2gye/&#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5219;top:43013;flip:x;height:304;width:7;" filled="f" stroked="t" coordsize="21600,21600" o:gfxdata="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VvG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15204;top:44113;flip:x;height:304;width:7;" filled="f" stroked="t" coordsize="21600,21600" o:gfxdata="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jZGfy/&#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5227;top:45398;flip:x;height:304;width:7;" filled="f" stroked="t" coordsize="21600,21600" o:gfxdata="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C4eL&#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_x0000_s1026" o:spid="_x0000_s1026" o:spt="20" style="position:absolute;left:15229;top:46438;flip:x;height:304;width:7;" filled="f" stroked="t" coordsize="21600,21600" o:gfxdata="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RyIQ&#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w:pict>
          </mc:Fallback>
        </mc:AlternateContent>
      </w: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pStyle w:val="4"/>
        <w:numPr>
          <w:ilvl w:val="1"/>
          <w:numId w:val="90"/>
        </w:numPr>
        <w:rPr>
          <w:rFonts w:hint="eastAsia" w:cs="Arial"/>
          <w:bCs w:val="0"/>
          <w:color w:val="000000"/>
          <w:sz w:val="28"/>
          <w:szCs w:val="28"/>
        </w:rPr>
      </w:pPr>
      <w:bookmarkStart w:id="380" w:name="_Toc29843"/>
      <w:bookmarkStart w:id="381" w:name="_Toc28852"/>
      <w:r>
        <w:rPr>
          <w:rFonts w:cs="Arial"/>
          <w:bCs w:val="0"/>
          <w:color w:val="000000"/>
          <w:sz w:val="28"/>
          <w:szCs w:val="28"/>
        </w:rPr>
        <w:t>施工成本控制</w:t>
      </w:r>
      <w:r>
        <w:rPr>
          <w:rFonts w:hint="eastAsia" w:cs="Arial"/>
          <w:bCs w:val="0"/>
          <w:color w:val="000000"/>
          <w:sz w:val="28"/>
          <w:szCs w:val="28"/>
        </w:rPr>
        <w:t>措施</w:t>
      </w:r>
      <w:bookmarkEnd w:id="380"/>
      <w:bookmarkEnd w:id="381"/>
    </w:p>
    <w:p>
      <w:pPr>
        <w:pStyle w:val="3"/>
        <w:rPr>
          <w:rFonts w:hint="eastAsia" w:ascii="宋体" w:hAnsi="宋体" w:eastAsia="宋体" w:cs="宋体"/>
          <w:bCs w:val="0"/>
          <w:color w:val="000000"/>
          <w:sz w:val="24"/>
          <w:szCs w:val="24"/>
          <w:lang w:val="en-US" w:eastAsia="zh-CN"/>
        </w:rPr>
      </w:pPr>
      <w:bookmarkStart w:id="382" w:name="_Toc25151"/>
      <w:bookmarkStart w:id="383" w:name="_Toc18279"/>
      <w:r>
        <w:rPr>
          <w:rFonts w:hint="eastAsia" w:ascii="宋体" w:hAnsi="宋体" w:eastAsia="宋体" w:cs="宋体"/>
          <w:bCs w:val="0"/>
          <w:color w:val="000000"/>
          <w:sz w:val="24"/>
          <w:szCs w:val="24"/>
          <w:lang w:val="en-US" w:eastAsia="zh-CN"/>
        </w:rPr>
        <w:t>3.4.1 组织措施</w:t>
      </w:r>
      <w:bookmarkEnd w:id="382"/>
      <w:bookmarkEnd w:id="383"/>
    </w:p>
    <w:p>
      <w:pPr>
        <w:numPr>
          <w:ilvl w:val="0"/>
          <w:numId w:val="9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项目部建立成本管理组织机构</w:t>
      </w:r>
      <w:r>
        <w:rPr>
          <w:rFonts w:hint="eastAsia" w:hAnsi="宋体" w:cs="Arial"/>
          <w:color w:val="000000"/>
          <w:sz w:val="24"/>
          <w:lang w:eastAsia="zh-CN"/>
        </w:rPr>
        <w:t>；</w:t>
      </w:r>
    </w:p>
    <w:p>
      <w:pPr>
        <w:numPr>
          <w:ilvl w:val="0"/>
          <w:numId w:val="9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项目部建立各岗位成本管理责任制</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项目经理成本管理责任</w:t>
      </w:r>
      <w:r>
        <w:rPr>
          <w:rFonts w:hint="eastAsia" w:hAnsi="宋体" w:cs="宋体"/>
          <w:sz w:val="24"/>
          <w:szCs w:val="24"/>
          <w:lang w:eastAsia="zh-CN"/>
        </w:rPr>
        <w:t>：</w:t>
      </w:r>
      <w:r>
        <w:rPr>
          <w:rFonts w:hint="eastAsia" w:ascii="宋体" w:hAnsi="宋体" w:eastAsia="宋体" w:cs="宋体"/>
          <w:sz w:val="24"/>
          <w:szCs w:val="24"/>
        </w:rPr>
        <w:t>项目经理全面负责项目成本控制工作，是项目部成本控制的责任中心。</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项目技术负责人成本管理责任</w:t>
      </w:r>
      <w:r>
        <w:rPr>
          <w:rFonts w:hint="eastAsia" w:hAnsi="宋体" w:cs="宋体"/>
          <w:sz w:val="24"/>
          <w:szCs w:val="24"/>
          <w:lang w:eastAsia="zh-CN"/>
        </w:rPr>
        <w:t>：</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根据招标文件、投标文件、合同文件和工程特点，对项目成本进行策划，编制成本计划和成本目标。</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研究合同不确定项目和现场情况、工程特点，做好工程签证策划，增加工程收入。</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及时反馈和研究工程变更的发生，做好索赔，保证工程收入。</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组织编制合理的施工组织设计，合理安排施工、合理的布置施工现场，为正确施工、减少浪费创造条件。</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严格控制项目人、才、机支出，每月汇总成本并进行分析，发现偏离情况，制定纠偏措施。</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严格技术规范，确保工程质量、减少零修补、消灭工程质量事故，降低质量成本。</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根据工程特点和设计要求，运用企业自身技术优势，采用实用、有效的技术组织措施和合理化建议，走技术和经济相结合的道路，提高工作效率和经济效益。</w:t>
      </w:r>
    </w:p>
    <w:p>
      <w:pPr>
        <w:numPr>
          <w:ilvl w:val="0"/>
          <w:numId w:val="94"/>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确保严格执行安全操作规程，减少一般事故，杜绝重大伤亡和机械事故，确保安全生产。</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项目材料员成本管理责任</w:t>
      </w:r>
      <w:r>
        <w:rPr>
          <w:rFonts w:hint="eastAsia" w:hAnsi="宋体" w:cs="宋体"/>
          <w:sz w:val="24"/>
          <w:szCs w:val="24"/>
          <w:lang w:eastAsia="zh-CN"/>
        </w:rPr>
        <w:t>：</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严格按照采购计划的要求，做好材料进场验收：包括准确计量、核对规格型号、数量、质量要求、等级等，确保材料合格，避免材料不合格的返工，建立材料入库台账。</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按照事故进度计划，及时组织材料的供应，保证工程项目顺利进行，防止因停工待料造成损失。</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在施工过程中，要严格按照限额领料的制度，控制材料消耗，建立材料领用记录。</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在材料使用中认真做好材料的标识和防护，避免材料误用而造成浪费，防止因材料防护不当，造成损失。</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在施工过程中，及时回收剩余材料，再利用。</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租赁周转材料要及时回收、退场、节省租赁费用、提高利用率。</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材料随进随用，合理安排材料储存，减少资金占用率。</w:t>
      </w:r>
    </w:p>
    <w:p>
      <w:pPr>
        <w:numPr>
          <w:ilvl w:val="0"/>
          <w:numId w:val="95"/>
        </w:numPr>
        <w:spacing w:line="360" w:lineRule="auto"/>
        <w:ind w:left="1358" w:leftChars="302" w:hanging="331" w:hangingChars="138"/>
        <w:rPr>
          <w:rFonts w:hint="eastAsia" w:ascii="宋体" w:hAnsi="宋体" w:eastAsia="宋体" w:cs="宋体"/>
          <w:sz w:val="24"/>
          <w:szCs w:val="24"/>
        </w:rPr>
      </w:pPr>
      <w:r>
        <w:rPr>
          <w:rFonts w:hint="eastAsia" w:ascii="宋体" w:hAnsi="宋体" w:eastAsia="宋体" w:cs="宋体"/>
          <w:sz w:val="24"/>
          <w:szCs w:val="24"/>
        </w:rPr>
        <w:t>严格控制材料的采购价格，广泛收集各种材料价格信息，采用招标采购、多家询价等方式确保采购低价材料。</w:t>
      </w:r>
    </w:p>
    <w:p>
      <w:pPr>
        <w:numPr>
          <w:ilvl w:val="0"/>
          <w:numId w:val="95"/>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每月对材料消耗进行汇总分析，对超过限额领料的分析原因，制定措施。</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项目机械员成本管理责任</w:t>
      </w:r>
      <w:r>
        <w:rPr>
          <w:rFonts w:hint="eastAsia" w:hAnsi="宋体" w:cs="宋体"/>
          <w:sz w:val="24"/>
          <w:szCs w:val="24"/>
          <w:lang w:eastAsia="zh-CN"/>
        </w:rPr>
        <w:t>：</w:t>
      </w:r>
    </w:p>
    <w:p>
      <w:pPr>
        <w:numPr>
          <w:ilvl w:val="0"/>
          <w:numId w:val="9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根据过程特点和施工方案合理选择机械的型号和数量。</w:t>
      </w:r>
    </w:p>
    <w:p>
      <w:pPr>
        <w:numPr>
          <w:ilvl w:val="0"/>
          <w:numId w:val="9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根据施工进度安排，编制合理的机械设备进场计划，提高机械利用率，减少机械使用成本。</w:t>
      </w:r>
    </w:p>
    <w:p>
      <w:pPr>
        <w:numPr>
          <w:ilvl w:val="0"/>
          <w:numId w:val="9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加强设备的机械保养制度，确保设备运行良好。</w:t>
      </w:r>
    </w:p>
    <w:p>
      <w:pPr>
        <w:numPr>
          <w:ilvl w:val="0"/>
          <w:numId w:val="9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对于租赁的设备，在租赁方式上根据施工特点和利用率，确定材料包月或包台班。</w:t>
      </w:r>
    </w:p>
    <w:p>
      <w:pPr>
        <w:numPr>
          <w:ilvl w:val="0"/>
          <w:numId w:val="9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加强设备的进场验收，对于油耗大、工作效率低的设备不予以采用。</w:t>
      </w:r>
    </w:p>
    <w:p>
      <w:pPr>
        <w:numPr>
          <w:ilvl w:val="0"/>
          <w:numId w:val="9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做好设备运行台班和油耗的统计，确保准确。</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项目施工员成本管理责任</w:t>
      </w:r>
    </w:p>
    <w:p>
      <w:pPr>
        <w:numPr>
          <w:ilvl w:val="0"/>
          <w:numId w:val="97"/>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做好施工现场的安排，合理调度机械，充分利用现场人员和设备，避免窝工和设备停滞增加成本。</w:t>
      </w:r>
    </w:p>
    <w:p>
      <w:pPr>
        <w:numPr>
          <w:ilvl w:val="0"/>
          <w:numId w:val="97"/>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严格对施工现场安全管理，杜绝各种伤害和安全事故，降低成本。</w:t>
      </w:r>
    </w:p>
    <w:p>
      <w:pPr>
        <w:numPr>
          <w:ilvl w:val="0"/>
          <w:numId w:val="97"/>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严格控制施工现场质量，杜绝返工而增加成本。</w:t>
      </w:r>
    </w:p>
    <w:p>
      <w:pPr>
        <w:numPr>
          <w:ilvl w:val="0"/>
          <w:numId w:val="97"/>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树立成本意识，严格控制施工现场人、材、机的浪费。</w:t>
      </w:r>
    </w:p>
    <w:p>
      <w:pPr>
        <w:numPr>
          <w:ilvl w:val="0"/>
          <w:numId w:val="97"/>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严格控制现场派工单数量，较少零工的支出。</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项目安全员成本管理责任</w:t>
      </w:r>
    </w:p>
    <w:p>
      <w:pPr>
        <w:numPr>
          <w:ilvl w:val="0"/>
          <w:numId w:val="98"/>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贯彻执行公司安全管理制度，落实安全操作规程，加强现场安全巡查，杜绝安全施工的发生。</w:t>
      </w:r>
    </w:p>
    <w:p>
      <w:pPr>
        <w:numPr>
          <w:ilvl w:val="0"/>
          <w:numId w:val="98"/>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加强安全防护用品的管理，做好现场防护用品的管理，检查佩带和使用情况，避免使用不当造成浪费，包括现场安全帽、安全带、配电箱、安全网等发放、领用、使用、管理、工程结束的回收等。</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项目质检试验员成本管理责任</w:t>
      </w:r>
    </w:p>
    <w:p>
      <w:pPr>
        <w:numPr>
          <w:ilvl w:val="0"/>
          <w:numId w:val="99"/>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做好日常检验和试验设备或工具的管理，包括保保管、使用等，避免设备损坏、丢失等造成浪费。</w:t>
      </w:r>
    </w:p>
    <w:p>
      <w:pPr>
        <w:numPr>
          <w:ilvl w:val="0"/>
          <w:numId w:val="99"/>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严格按照施工规范、验收标准等对各工序进行检查、验收，确保工程施工质量，避免返工造成成本增加。</w:t>
      </w:r>
    </w:p>
    <w:p>
      <w:pPr>
        <w:numPr>
          <w:ilvl w:val="0"/>
          <w:numId w:val="99"/>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试验人员结合试验室，不断优化施工各类配合比，降低材料的消耗节约成本。建立试验台账，严格控制试验费用。</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项目测量员成本管理责任</w:t>
      </w:r>
    </w:p>
    <w:p>
      <w:pPr>
        <w:numPr>
          <w:ilvl w:val="0"/>
          <w:numId w:val="100"/>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做好现场测量设备的管理，避免设备丢失、损坏等造成浪费。</w:t>
      </w:r>
    </w:p>
    <w:p>
      <w:pPr>
        <w:numPr>
          <w:ilvl w:val="0"/>
          <w:numId w:val="100"/>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严格按照测量规范要求，做好现场测量，避免测量失误造成返工增加成本。</w:t>
      </w:r>
    </w:p>
    <w:p>
      <w:pPr>
        <w:numPr>
          <w:ilvl w:val="0"/>
          <w:numId w:val="93"/>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项目环保员成本管理责任</w:t>
      </w:r>
    </w:p>
    <w:p>
      <w:pPr>
        <w:numPr>
          <w:ilvl w:val="0"/>
          <w:numId w:val="101"/>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结合项目实际和特点，编制切实科学的节能降耗措施，控制浪费，降低成本。</w:t>
      </w:r>
    </w:p>
    <w:p>
      <w:pPr>
        <w:pStyle w:val="3"/>
        <w:rPr>
          <w:rFonts w:hint="eastAsia" w:ascii="宋体" w:hAnsi="宋体" w:eastAsia="宋体" w:cs="宋体"/>
          <w:bCs w:val="0"/>
          <w:color w:val="000000"/>
          <w:sz w:val="24"/>
          <w:szCs w:val="24"/>
          <w:lang w:val="en-US" w:eastAsia="zh-CN"/>
        </w:rPr>
      </w:pPr>
      <w:bookmarkStart w:id="384" w:name="_Toc25096"/>
      <w:bookmarkStart w:id="385" w:name="_Toc14850"/>
      <w:r>
        <w:rPr>
          <w:rFonts w:hint="eastAsia" w:ascii="宋体" w:hAnsi="宋体" w:eastAsia="宋体" w:cs="宋体"/>
          <w:bCs w:val="0"/>
          <w:color w:val="000000"/>
          <w:sz w:val="24"/>
          <w:szCs w:val="24"/>
          <w:lang w:val="en-US" w:eastAsia="zh-CN"/>
        </w:rPr>
        <w:t>3.4.2 技术措施</w:t>
      </w:r>
      <w:bookmarkEnd w:id="384"/>
      <w:bookmarkEnd w:id="385"/>
    </w:p>
    <w:p>
      <w:pPr>
        <w:numPr>
          <w:ilvl w:val="0"/>
          <w:numId w:val="10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项目部开工前，对主要技术方案进行比较、论证，确定最佳施工工艺，从而降低工程成本。</w:t>
      </w:r>
    </w:p>
    <w:p>
      <w:pPr>
        <w:numPr>
          <w:ilvl w:val="0"/>
          <w:numId w:val="10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项目部尽可能采用新材料、新技术、新工艺、新设备，节约能耗，提高机械化操作等。</w:t>
      </w:r>
    </w:p>
    <w:p>
      <w:pPr>
        <w:numPr>
          <w:ilvl w:val="0"/>
          <w:numId w:val="10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加强质量管理，控制返工率</w:t>
      </w:r>
      <w:r>
        <w:rPr>
          <w:rFonts w:hint="eastAsia" w:hAnsi="宋体" w:cs="Arial"/>
          <w:color w:val="000000"/>
          <w:sz w:val="24"/>
          <w:lang w:eastAsia="zh-CN"/>
        </w:rPr>
        <w:t>。</w:t>
      </w:r>
      <w:r>
        <w:rPr>
          <w:rFonts w:hint="eastAsia" w:ascii="宋体" w:hAnsi="宋体" w:cs="Arial"/>
          <w:color w:val="000000"/>
          <w:sz w:val="24"/>
        </w:rPr>
        <w:t>各级质检人员定点、定岗、定责、加强施工工序的质量自检和管理工作。采取防范措施，消除质量通病，做到工程一次成型、一次合格，杜绝返工现象的发生，从而造成不必要的成本增加。</w:t>
      </w:r>
    </w:p>
    <w:p>
      <w:pPr>
        <w:numPr>
          <w:ilvl w:val="0"/>
          <w:numId w:val="10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考虑季节施工对成本的影响，采取有效的季节性技术措施，做好应急措施的准备，将季节性对成本的影响降到最低。</w:t>
      </w:r>
    </w:p>
    <w:p>
      <w:pPr>
        <w:numPr>
          <w:ilvl w:val="0"/>
          <w:numId w:val="10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结合项目特点，合理布置场地，降低材料库存和运输成本。</w:t>
      </w:r>
    </w:p>
    <w:p>
      <w:pPr>
        <w:numPr>
          <w:ilvl w:val="0"/>
          <w:numId w:val="102"/>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结合施工方案，按照定额消耗量指标，控制实际人工、材料消耗量。</w:t>
      </w:r>
    </w:p>
    <w:p>
      <w:pPr>
        <w:pStyle w:val="3"/>
        <w:rPr>
          <w:rFonts w:hint="eastAsia" w:ascii="宋体" w:hAnsi="宋体" w:eastAsia="宋体" w:cs="宋体"/>
          <w:bCs w:val="0"/>
          <w:color w:val="000000"/>
          <w:sz w:val="24"/>
          <w:szCs w:val="24"/>
          <w:lang w:val="en-US" w:eastAsia="zh-CN"/>
        </w:rPr>
      </w:pPr>
      <w:bookmarkStart w:id="386" w:name="_Toc13336"/>
      <w:bookmarkStart w:id="387" w:name="_Toc2341"/>
      <w:r>
        <w:rPr>
          <w:rFonts w:hint="eastAsia" w:ascii="宋体" w:hAnsi="宋体" w:eastAsia="宋体" w:cs="宋体"/>
          <w:bCs w:val="0"/>
          <w:color w:val="000000"/>
          <w:sz w:val="24"/>
          <w:szCs w:val="24"/>
          <w:lang w:val="en-US" w:eastAsia="zh-CN"/>
        </w:rPr>
        <w:t>3.4.3 经济措施</w:t>
      </w:r>
      <w:bookmarkEnd w:id="386"/>
      <w:bookmarkEnd w:id="387"/>
    </w:p>
    <w:p>
      <w:pPr>
        <w:numPr>
          <w:ilvl w:val="0"/>
          <w:numId w:val="0"/>
        </w:numPr>
        <w:tabs>
          <w:tab w:val="left" w:pos="525"/>
        </w:tabs>
        <w:spacing w:line="360" w:lineRule="auto"/>
        <w:ind w:left="60" w:leftChars="0"/>
        <w:rPr>
          <w:rFonts w:hint="eastAsia" w:ascii="宋体" w:hAnsi="宋体" w:cs="Arial"/>
          <w:color w:val="000000"/>
          <w:sz w:val="24"/>
        </w:rPr>
      </w:pPr>
    </w:p>
    <w:p>
      <w:pPr>
        <w:numPr>
          <w:ilvl w:val="0"/>
          <w:numId w:val="103"/>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根据项目特点、工期要求，制定项目资金使用计划，严格控制资金使用。</w:t>
      </w:r>
    </w:p>
    <w:p>
      <w:pPr>
        <w:numPr>
          <w:ilvl w:val="0"/>
          <w:numId w:val="103"/>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各种费用控制</w:t>
      </w:r>
    </w:p>
    <w:p>
      <w:pPr>
        <w:numPr>
          <w:ilvl w:val="0"/>
          <w:numId w:val="104"/>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人工费控制：合理安排施工工序，严格控制零工。</w:t>
      </w:r>
    </w:p>
    <w:p>
      <w:pPr>
        <w:numPr>
          <w:ilvl w:val="0"/>
          <w:numId w:val="104"/>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材料费控制</w:t>
      </w:r>
    </w:p>
    <w:p>
      <w:pPr>
        <w:numPr>
          <w:ilvl w:val="0"/>
          <w:numId w:val="105"/>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对材料用量控制：坚持按定额确定材料消耗，实现限额领料制度。加强周转材料管理，延长周转次数。</w:t>
      </w:r>
    </w:p>
    <w:p>
      <w:pPr>
        <w:numPr>
          <w:ilvl w:val="0"/>
          <w:numId w:val="105"/>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对材料价格控制：进行生产行情调查，在保证质量前提下，货比三家，择优录取；其次合理组织运输，就近购料，选用最经济的运输方式，以降低运输成本；另外需考虑资金的时间价值，减少资金的占用，合理确定进货批量与批次，尽可能降低材料储备。</w:t>
      </w:r>
    </w:p>
    <w:p>
      <w:pPr>
        <w:numPr>
          <w:ilvl w:val="0"/>
          <w:numId w:val="104"/>
        </w:numPr>
        <w:spacing w:line="360" w:lineRule="auto"/>
        <w:ind w:left="1020" w:leftChars="0" w:hanging="340" w:firstLineChars="0"/>
        <w:rPr>
          <w:rFonts w:hint="eastAsia" w:ascii="宋体" w:hAnsi="宋体" w:eastAsia="宋体" w:cs="宋体"/>
          <w:sz w:val="24"/>
          <w:szCs w:val="24"/>
        </w:rPr>
      </w:pPr>
      <w:r>
        <w:rPr>
          <w:rFonts w:hint="eastAsia" w:ascii="宋体" w:hAnsi="宋体" w:eastAsia="宋体" w:cs="宋体"/>
          <w:sz w:val="24"/>
          <w:szCs w:val="24"/>
        </w:rPr>
        <w:t>机械控制措施</w:t>
      </w:r>
    </w:p>
    <w:p>
      <w:pPr>
        <w:numPr>
          <w:ilvl w:val="0"/>
          <w:numId w:val="10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合理安排设备进场，提高设备的利用率和完好率，同时加强现场设备的维修、保养工作，降低大修、经常性修理等各项费用开支，避免不正当使用造成设备的闲置</w:t>
      </w:r>
      <w:r>
        <w:rPr>
          <w:rFonts w:hint="eastAsia" w:hAnsi="宋体" w:cs="宋体"/>
          <w:sz w:val="24"/>
          <w:szCs w:val="24"/>
          <w:lang w:eastAsia="zh-CN"/>
        </w:rPr>
        <w:t>。</w:t>
      </w:r>
    </w:p>
    <w:p>
      <w:pPr>
        <w:numPr>
          <w:ilvl w:val="0"/>
          <w:numId w:val="106"/>
        </w:numPr>
        <w:spacing w:line="360" w:lineRule="auto"/>
        <w:ind w:left="1356" w:leftChars="300" w:hanging="336" w:hangingChars="140"/>
        <w:rPr>
          <w:rFonts w:hint="eastAsia" w:ascii="宋体" w:hAnsi="宋体" w:eastAsia="宋体" w:cs="宋体"/>
          <w:sz w:val="24"/>
          <w:szCs w:val="24"/>
        </w:rPr>
      </w:pPr>
      <w:r>
        <w:rPr>
          <w:rFonts w:hint="eastAsia" w:ascii="宋体" w:hAnsi="宋体" w:eastAsia="宋体" w:cs="宋体"/>
          <w:sz w:val="24"/>
          <w:szCs w:val="24"/>
        </w:rPr>
        <w:t>加强外租设备计划的管理，充分利用社会闲置机械资源，从不同角度降低机械台班价格。</w:t>
      </w:r>
    </w:p>
    <w:p>
      <w:pPr>
        <w:pStyle w:val="3"/>
        <w:rPr>
          <w:rFonts w:hint="eastAsia" w:ascii="宋体" w:hAnsi="宋体" w:eastAsia="宋体" w:cs="宋体"/>
          <w:bCs w:val="0"/>
          <w:color w:val="000000"/>
          <w:sz w:val="24"/>
          <w:szCs w:val="24"/>
          <w:lang w:val="en-US" w:eastAsia="zh-CN"/>
        </w:rPr>
      </w:pPr>
      <w:bookmarkStart w:id="388" w:name="_Toc30017"/>
      <w:bookmarkStart w:id="389" w:name="_Toc22181"/>
      <w:r>
        <w:rPr>
          <w:rFonts w:hint="eastAsia" w:ascii="宋体" w:hAnsi="宋体" w:eastAsia="宋体" w:cs="宋体"/>
          <w:bCs w:val="0"/>
          <w:color w:val="000000"/>
          <w:sz w:val="24"/>
          <w:szCs w:val="24"/>
          <w:lang w:val="en-US" w:eastAsia="zh-CN"/>
        </w:rPr>
        <w:t>3.4.4 合同措施</w:t>
      </w:r>
      <w:bookmarkEnd w:id="388"/>
      <w:bookmarkEnd w:id="389"/>
    </w:p>
    <w:p>
      <w:pPr>
        <w:numPr>
          <w:ilvl w:val="0"/>
          <w:numId w:val="107"/>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在施工过程中加强施工过程中的合同管理，了解合同中各项要求，关注我方在履行合同的进展效果，以防止被索赔。</w:t>
      </w:r>
    </w:p>
    <w:p>
      <w:pPr>
        <w:numPr>
          <w:ilvl w:val="0"/>
          <w:numId w:val="107"/>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学习合同中有关造价的相关要求。</w:t>
      </w:r>
    </w:p>
    <w:p>
      <w:pPr>
        <w:numPr>
          <w:ilvl w:val="0"/>
          <w:numId w:val="107"/>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针对项目特点，分公司与项目部签订成本承包合同。</w:t>
      </w:r>
    </w:p>
    <w:p>
      <w:pPr>
        <w:numPr>
          <w:ilvl w:val="0"/>
          <w:numId w:val="107"/>
        </w:numPr>
        <w:tabs>
          <w:tab w:val="left" w:pos="525"/>
          <w:tab w:val="clear" w:pos="840"/>
        </w:tabs>
        <w:spacing w:line="360" w:lineRule="auto"/>
        <w:ind w:left="420"/>
        <w:rPr>
          <w:rFonts w:hint="eastAsia" w:ascii="宋体" w:hAnsi="宋体" w:cs="Arial"/>
          <w:color w:val="000000"/>
          <w:sz w:val="24"/>
        </w:rPr>
      </w:pPr>
      <w:r>
        <w:rPr>
          <w:rFonts w:hint="eastAsia" w:ascii="宋体" w:hAnsi="宋体" w:cs="Arial"/>
          <w:color w:val="000000"/>
          <w:sz w:val="24"/>
        </w:rPr>
        <w:t>做好项目的前期策划，特别注意策划施工过程中利润增长点，掌握合同中索赔的要求。</w:t>
      </w:r>
    </w:p>
    <w:p>
      <w:pPr>
        <w:pStyle w:val="2"/>
        <w:numPr>
          <w:ilvl w:val="0"/>
          <w:numId w:val="2"/>
        </w:numPr>
        <w:jc w:val="center"/>
        <w:rPr>
          <w:rFonts w:hint="eastAsia" w:cs="Arial"/>
          <w:bCs w:val="0"/>
          <w:color w:val="000000"/>
          <w:sz w:val="32"/>
          <w:szCs w:val="32"/>
        </w:rPr>
      </w:pPr>
      <w:bookmarkStart w:id="390" w:name="_Toc15811"/>
      <w:bookmarkStart w:id="391" w:name="_Toc21436"/>
      <w:bookmarkStart w:id="392" w:name="_Toc22471"/>
      <w:bookmarkStart w:id="393" w:name="_Toc93674470"/>
      <w:bookmarkStart w:id="394" w:name="_Toc31042"/>
      <w:bookmarkStart w:id="395" w:name="_Toc4255"/>
      <w:r>
        <w:rPr>
          <w:rFonts w:cs="Arial"/>
          <w:color w:val="000000"/>
          <w:sz w:val="32"/>
          <w:szCs w:val="32"/>
        </w:rPr>
        <w:t>系统</w:t>
      </w:r>
      <w:r>
        <w:rPr>
          <w:rFonts w:hint="eastAsia" w:cs="Arial"/>
          <w:color w:val="000000"/>
          <w:sz w:val="32"/>
          <w:szCs w:val="32"/>
        </w:rPr>
        <w:t>信息资料管理</w:t>
      </w:r>
      <w:bookmarkEnd w:id="390"/>
      <w:bookmarkEnd w:id="391"/>
      <w:bookmarkEnd w:id="392"/>
      <w:bookmarkEnd w:id="393"/>
      <w:bookmarkEnd w:id="394"/>
      <w:bookmarkEnd w:id="395"/>
    </w:p>
    <w:p>
      <w:pPr>
        <w:pStyle w:val="3"/>
        <w:numPr>
          <w:ilvl w:val="1"/>
          <w:numId w:val="2"/>
        </w:numPr>
        <w:tabs>
          <w:tab w:val="left" w:pos="540"/>
          <w:tab w:val="clear" w:pos="1965"/>
        </w:tabs>
        <w:ind w:left="547" w:hanging="547"/>
        <w:rPr>
          <w:rFonts w:hint="eastAsia" w:ascii="宋体" w:hAnsi="宋体" w:eastAsia="宋体" w:cs="Arial"/>
          <w:bCs w:val="0"/>
          <w:color w:val="000000"/>
          <w:sz w:val="28"/>
          <w:szCs w:val="28"/>
        </w:rPr>
      </w:pPr>
      <w:bookmarkStart w:id="396" w:name="_Toc28309"/>
      <w:bookmarkStart w:id="397" w:name="_Toc25986"/>
      <w:bookmarkStart w:id="398" w:name="_Toc22668"/>
      <w:bookmarkStart w:id="399" w:name="_Toc3630"/>
      <w:bookmarkStart w:id="400" w:name="_Toc23182"/>
      <w:r>
        <w:rPr>
          <w:rFonts w:ascii="宋体" w:hAnsi="宋体" w:eastAsia="宋体" w:cs="Arial"/>
          <w:bCs w:val="0"/>
          <w:color w:val="000000"/>
          <w:sz w:val="28"/>
          <w:szCs w:val="28"/>
        </w:rPr>
        <w:t>施工信息管理</w:t>
      </w:r>
      <w:bookmarkEnd w:id="396"/>
      <w:bookmarkEnd w:id="397"/>
      <w:bookmarkEnd w:id="398"/>
      <w:bookmarkEnd w:id="399"/>
      <w:bookmarkEnd w:id="400"/>
    </w:p>
    <w:p>
      <w:pPr>
        <w:tabs>
          <w:tab w:val="left" w:pos="180"/>
        </w:tabs>
        <w:spacing w:line="360" w:lineRule="auto"/>
        <w:ind w:firstLine="480"/>
        <w:rPr>
          <w:rFonts w:hint="eastAsia" w:ascii="宋体" w:hAnsi="宋体" w:cs="Arial"/>
          <w:color w:val="000000"/>
          <w:sz w:val="24"/>
        </w:rPr>
      </w:pPr>
      <w:r>
        <w:rPr>
          <w:rFonts w:ascii="宋体" w:hAnsi="宋体" w:cs="Arial"/>
          <w:color w:val="000000"/>
          <w:sz w:val="24"/>
        </w:rPr>
        <w:t>工程文档是指在工程实施过程中发生的,涉及工程实施各方并得到认可的、正式的往来文档资料。它是实施工程全过程的真实写照，是对实施过程中的重要事件和决策的记录和印证。对工程文档的有效管理可以保证工程的顺利实施。工程文档可以对工程项目管理人员产生一定强制性的约束；在工程实施过程中出现纠纷时，工程文档可以作为仲裁的依据；工程文档还可以作为系统运行与维护时的参考资料。因此，对工程实施文档管理是非常必要也是非常重要的工作。</w:t>
      </w:r>
    </w:p>
    <w:p>
      <w:pPr>
        <w:tabs>
          <w:tab w:val="left" w:pos="180"/>
        </w:tabs>
        <w:spacing w:line="360" w:lineRule="auto"/>
        <w:ind w:firstLine="480"/>
        <w:rPr>
          <w:rFonts w:hint="eastAsia" w:ascii="宋体" w:hAnsi="宋体" w:cs="Arial"/>
          <w:color w:val="000000"/>
          <w:sz w:val="24"/>
        </w:rPr>
      </w:pPr>
      <w:r>
        <w:rPr>
          <w:rFonts w:ascii="宋体" w:hAnsi="宋体" w:cs="Arial"/>
          <w:color w:val="000000"/>
          <w:sz w:val="24"/>
        </w:rPr>
        <w:t>根据工程实施的步骤，我们将施工文档分为施工准备文档的管理、施工过程文档的管理及工程竣工验收文档三个方面进行规范的管理。</w:t>
      </w:r>
    </w:p>
    <w:p>
      <w:pPr>
        <w:pStyle w:val="4"/>
        <w:numPr>
          <w:ilvl w:val="1"/>
          <w:numId w:val="108"/>
        </w:numPr>
        <w:rPr>
          <w:rFonts w:hint="eastAsia" w:ascii="宋体" w:hAnsi="宋体"/>
          <w:sz w:val="28"/>
          <w:szCs w:val="28"/>
        </w:rPr>
      </w:pPr>
      <w:bookmarkStart w:id="401" w:name="_Toc12932"/>
      <w:bookmarkStart w:id="402" w:name="_Toc8824"/>
      <w:bookmarkStart w:id="403" w:name="_Toc5540"/>
      <w:bookmarkStart w:id="404" w:name="_Toc16078"/>
      <w:bookmarkStart w:id="405" w:name="_Toc30520"/>
      <w:r>
        <w:rPr>
          <w:rFonts w:cs="Arial"/>
          <w:bCs w:val="0"/>
          <w:color w:val="000000"/>
          <w:sz w:val="28"/>
          <w:szCs w:val="28"/>
        </w:rPr>
        <w:t>施工准备文档的管理</w:t>
      </w:r>
      <w:bookmarkEnd w:id="401"/>
      <w:bookmarkEnd w:id="402"/>
      <w:bookmarkEnd w:id="403"/>
      <w:bookmarkEnd w:id="404"/>
      <w:bookmarkEnd w:id="405"/>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施工准备文档是指在施工人员进场前，由项目经理部组织、准备的相关文件，它包括以下内容：</w:t>
      </w:r>
    </w:p>
    <w:p>
      <w:pPr>
        <w:numPr>
          <w:ilvl w:val="2"/>
          <w:numId w:val="109"/>
        </w:numPr>
        <w:tabs>
          <w:tab w:val="left" w:pos="540"/>
          <w:tab w:val="left" w:pos="1050"/>
          <w:tab w:val="clear" w:pos="2040"/>
        </w:tabs>
        <w:spacing w:line="360" w:lineRule="auto"/>
        <w:ind w:left="0" w:leftChars="0" w:firstLine="0" w:firstLineChars="0"/>
        <w:rPr>
          <w:rFonts w:ascii="宋体" w:hAnsi="宋体" w:cs="Arial"/>
          <w:color w:val="000000"/>
          <w:sz w:val="24"/>
        </w:rPr>
      </w:pPr>
      <w:r>
        <w:rPr>
          <w:rFonts w:ascii="宋体" w:hAnsi="宋体" w:cs="Arial"/>
          <w:color w:val="000000"/>
          <w:sz w:val="24"/>
        </w:rPr>
        <w:t>建筑结构设计文档</w:t>
      </w:r>
    </w:p>
    <w:p>
      <w:pPr>
        <w:spacing w:line="360" w:lineRule="auto"/>
        <w:ind w:left="340" w:leftChars="100" w:firstLine="480" w:firstLineChars="200"/>
        <w:rPr>
          <w:rFonts w:ascii="宋体" w:hAnsi="宋体" w:cs="Arial"/>
          <w:color w:val="000000"/>
          <w:sz w:val="24"/>
        </w:rPr>
      </w:pPr>
      <w:r>
        <w:rPr>
          <w:rFonts w:ascii="宋体" w:hAnsi="宋体" w:cs="Arial"/>
          <w:color w:val="000000"/>
          <w:sz w:val="24"/>
        </w:rPr>
        <w:t>建筑结构设计文档是整个建筑工程实施的基础性文件，是整个工程实施的基础。对于工程而言，对建筑结构了解的侧重点于其空间位置及各种相关设施的布局。</w:t>
      </w:r>
    </w:p>
    <w:p>
      <w:pPr>
        <w:numPr>
          <w:ilvl w:val="2"/>
          <w:numId w:val="109"/>
        </w:numPr>
        <w:tabs>
          <w:tab w:val="left" w:pos="540"/>
          <w:tab w:val="left" w:pos="1050"/>
          <w:tab w:val="clear" w:pos="2040"/>
        </w:tabs>
        <w:spacing w:line="360" w:lineRule="auto"/>
        <w:ind w:left="0" w:leftChars="0" w:firstLine="0" w:firstLineChars="0"/>
        <w:rPr>
          <w:rFonts w:ascii="宋体" w:hAnsi="宋体" w:cs="Arial"/>
          <w:color w:val="000000"/>
          <w:sz w:val="24"/>
        </w:rPr>
      </w:pPr>
      <w:r>
        <w:rPr>
          <w:rFonts w:ascii="宋体" w:hAnsi="宋体" w:cs="Arial"/>
          <w:color w:val="000000"/>
          <w:sz w:val="24"/>
        </w:rPr>
        <w:t>工程深化设计文档</w:t>
      </w:r>
    </w:p>
    <w:p>
      <w:pPr>
        <w:spacing w:line="360" w:lineRule="auto"/>
        <w:ind w:left="340" w:leftChars="100" w:firstLine="480" w:firstLineChars="200"/>
        <w:rPr>
          <w:rFonts w:ascii="宋体" w:hAnsi="宋体" w:cs="Arial"/>
          <w:color w:val="000000"/>
          <w:sz w:val="24"/>
        </w:rPr>
      </w:pPr>
      <w:r>
        <w:rPr>
          <w:rFonts w:ascii="宋体" w:hAnsi="宋体" w:cs="Arial"/>
          <w:color w:val="000000"/>
          <w:sz w:val="24"/>
        </w:rPr>
        <w:t>在施工人员进场前，设计人员要完成</w:t>
      </w:r>
      <w:r>
        <w:rPr>
          <w:rFonts w:hint="eastAsia" w:ascii="宋体" w:hAnsi="宋体" w:cs="Arial"/>
          <w:color w:val="000000"/>
          <w:sz w:val="24"/>
          <w:lang w:val="en-US" w:eastAsia="zh-CN"/>
        </w:rPr>
        <w:t>施工</w:t>
      </w:r>
      <w:r>
        <w:rPr>
          <w:rFonts w:ascii="宋体" w:hAnsi="宋体" w:cs="Arial"/>
          <w:color w:val="000000"/>
          <w:sz w:val="24"/>
        </w:rPr>
        <w:t>方案的深化设计，包括系统图、系统拓扑图、设备安装平面布置图、系统设备连接图、系统布缆布线图的完成。这些设计文档的完成是工程顺利实施的基础。</w:t>
      </w:r>
    </w:p>
    <w:p>
      <w:pPr>
        <w:numPr>
          <w:ilvl w:val="2"/>
          <w:numId w:val="109"/>
        </w:numPr>
        <w:tabs>
          <w:tab w:val="left" w:pos="540"/>
          <w:tab w:val="left" w:pos="1050"/>
          <w:tab w:val="clear" w:pos="2040"/>
        </w:tabs>
        <w:spacing w:line="360" w:lineRule="auto"/>
        <w:ind w:left="0" w:leftChars="0" w:firstLine="0" w:firstLineChars="0"/>
        <w:rPr>
          <w:rFonts w:ascii="宋体" w:hAnsi="宋体" w:cs="Arial"/>
          <w:color w:val="000000"/>
          <w:sz w:val="24"/>
        </w:rPr>
      </w:pPr>
      <w:r>
        <w:rPr>
          <w:rFonts w:ascii="宋体" w:hAnsi="宋体" w:cs="Arial"/>
          <w:color w:val="000000"/>
          <w:sz w:val="24"/>
        </w:rPr>
        <w:t>合同文档的管理</w:t>
      </w:r>
    </w:p>
    <w:p>
      <w:pPr>
        <w:spacing w:line="360" w:lineRule="auto"/>
        <w:ind w:left="340" w:leftChars="100" w:firstLine="480" w:firstLineChars="200"/>
        <w:rPr>
          <w:rFonts w:hint="eastAsia" w:ascii="宋体" w:hAnsi="宋体" w:cs="Arial"/>
          <w:color w:val="000000"/>
          <w:sz w:val="24"/>
        </w:rPr>
      </w:pPr>
      <w:r>
        <w:rPr>
          <w:rFonts w:ascii="宋体" w:hAnsi="宋体" w:cs="Arial"/>
          <w:color w:val="000000"/>
          <w:sz w:val="24"/>
        </w:rPr>
        <w:t>在合同文档中，对于工程实施影响最大的就是工期与设备供应清单两部分。这两部分是工程实施的基本依据和要求，也是工程验收的标准之一。工程实施过程中的合同管理，其重要工作是保证工程按照合同规定的要求顺利实施。</w:t>
      </w:r>
    </w:p>
    <w:p>
      <w:pPr>
        <w:pStyle w:val="4"/>
        <w:numPr>
          <w:ilvl w:val="1"/>
          <w:numId w:val="108"/>
        </w:numPr>
        <w:rPr>
          <w:rFonts w:hint="eastAsia" w:ascii="宋体" w:hAnsi="宋体"/>
          <w:sz w:val="28"/>
          <w:szCs w:val="28"/>
        </w:rPr>
      </w:pPr>
      <w:bookmarkStart w:id="406" w:name="_Toc32210"/>
      <w:bookmarkStart w:id="407" w:name="_Toc5582"/>
      <w:bookmarkStart w:id="408" w:name="_Toc11788"/>
      <w:bookmarkStart w:id="409" w:name="_Toc10292"/>
      <w:bookmarkStart w:id="410" w:name="_Toc2453"/>
      <w:r>
        <w:rPr>
          <w:rFonts w:cs="Arial"/>
          <w:bCs w:val="0"/>
          <w:color w:val="000000"/>
          <w:sz w:val="28"/>
          <w:szCs w:val="28"/>
        </w:rPr>
        <w:t>施工过程文档的管理</w:t>
      </w:r>
      <w:bookmarkEnd w:id="406"/>
      <w:bookmarkEnd w:id="407"/>
      <w:bookmarkEnd w:id="408"/>
      <w:bookmarkEnd w:id="409"/>
      <w:bookmarkEnd w:id="410"/>
    </w:p>
    <w:p>
      <w:pPr>
        <w:tabs>
          <w:tab w:val="left" w:pos="180"/>
        </w:tabs>
        <w:spacing w:line="360" w:lineRule="auto"/>
        <w:ind w:firstLine="600"/>
        <w:rPr>
          <w:rFonts w:ascii="宋体" w:hAnsi="宋体" w:cs="Arial"/>
          <w:color w:val="000000"/>
          <w:sz w:val="24"/>
        </w:rPr>
      </w:pPr>
      <w:r>
        <w:rPr>
          <w:rFonts w:ascii="宋体" w:hAnsi="宋体" w:cs="Arial"/>
          <w:color w:val="000000"/>
          <w:sz w:val="24"/>
        </w:rPr>
        <w:t>施工过程文档是在工程实施过程中与有关各方和内部管理与记录过程中发生的交互信息的记录。它通常具有突发性、时效性及多发性等特点。针对这些特点，我方将通过满足即时确认与存档、即时处理、即时回复三个方面的要求对施工过程文档进行管理。</w:t>
      </w:r>
    </w:p>
    <w:p>
      <w:pPr>
        <w:numPr>
          <w:ilvl w:val="2"/>
          <w:numId w:val="110"/>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即时确认与存档：项目管理人员必须向过程文档的发出方确认该文档的内容和有效性。过程文档在签收后，必须要立即存档，并保存好原件。</w:t>
      </w:r>
    </w:p>
    <w:p>
      <w:pPr>
        <w:numPr>
          <w:ilvl w:val="2"/>
          <w:numId w:val="110"/>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即时处理：过程文档在存档的同时，也要根据其中涉及的问题及时给出处理意见，在可能的情况下立即采取相应的处理措施。</w:t>
      </w:r>
    </w:p>
    <w:p>
      <w:pPr>
        <w:numPr>
          <w:ilvl w:val="2"/>
          <w:numId w:val="110"/>
        </w:numPr>
        <w:tabs>
          <w:tab w:val="left" w:pos="680"/>
          <w:tab w:val="clear" w:pos="2040"/>
        </w:tabs>
        <w:spacing w:line="360" w:lineRule="auto"/>
        <w:ind w:left="679" w:leftChars="0" w:hanging="679" w:hangingChars="283"/>
        <w:rPr>
          <w:rFonts w:hint="eastAsia" w:ascii="宋体" w:hAnsi="宋体" w:cs="Arial"/>
          <w:color w:val="000000"/>
          <w:sz w:val="24"/>
        </w:rPr>
      </w:pPr>
      <w:r>
        <w:rPr>
          <w:rFonts w:ascii="宋体" w:hAnsi="宋体" w:cs="Arial"/>
          <w:color w:val="000000"/>
          <w:sz w:val="24"/>
        </w:rPr>
        <w:t>即时回复：在及时采取相关措施的同时，根据进展情况及时向有关方回复处理结果，以便互相协调工作。</w:t>
      </w:r>
    </w:p>
    <w:p>
      <w:pPr>
        <w:pStyle w:val="4"/>
        <w:numPr>
          <w:ilvl w:val="1"/>
          <w:numId w:val="108"/>
        </w:numPr>
        <w:rPr>
          <w:rFonts w:hint="eastAsia" w:ascii="宋体" w:hAnsi="宋体"/>
          <w:sz w:val="28"/>
          <w:szCs w:val="28"/>
        </w:rPr>
      </w:pPr>
      <w:bookmarkStart w:id="411" w:name="_Toc2780"/>
      <w:bookmarkStart w:id="412" w:name="_Toc24035"/>
      <w:bookmarkStart w:id="413" w:name="_Toc21343"/>
      <w:bookmarkStart w:id="414" w:name="_Toc6413"/>
      <w:bookmarkStart w:id="415" w:name="_Toc10413"/>
      <w:r>
        <w:rPr>
          <w:rFonts w:cs="Arial"/>
          <w:bCs w:val="0"/>
          <w:color w:val="000000"/>
          <w:sz w:val="28"/>
          <w:szCs w:val="28"/>
        </w:rPr>
        <w:t>竣工验收文档的管理</w:t>
      </w:r>
      <w:bookmarkEnd w:id="411"/>
      <w:bookmarkEnd w:id="412"/>
      <w:bookmarkEnd w:id="413"/>
      <w:bookmarkEnd w:id="414"/>
      <w:bookmarkEnd w:id="415"/>
    </w:p>
    <w:p>
      <w:pPr>
        <w:tabs>
          <w:tab w:val="left" w:pos="180"/>
        </w:tabs>
        <w:spacing w:line="360" w:lineRule="auto"/>
        <w:ind w:firstLine="495"/>
        <w:rPr>
          <w:rFonts w:ascii="宋体" w:hAnsi="宋体" w:cs="Arial"/>
          <w:color w:val="000000"/>
          <w:sz w:val="24"/>
        </w:rPr>
      </w:pPr>
      <w:r>
        <w:rPr>
          <w:rFonts w:ascii="宋体" w:hAnsi="宋体" w:cs="Arial"/>
          <w:color w:val="000000"/>
          <w:sz w:val="24"/>
        </w:rPr>
        <w:t>工程资料是工程项目竣工验收和质量保证的重要依据之一，竣工验收必须提供完整的竣工验收文档，包括商务文档和技术文档两大部分。因此，竣工验收文档必须齐备，管理规范，以便验收能顺利进行。</w:t>
      </w:r>
    </w:p>
    <w:p>
      <w:pPr>
        <w:tabs>
          <w:tab w:val="left" w:pos="180"/>
        </w:tabs>
        <w:spacing w:line="360" w:lineRule="auto"/>
        <w:ind w:firstLine="495"/>
        <w:rPr>
          <w:rFonts w:ascii="宋体" w:hAnsi="宋体" w:cs="Arial"/>
          <w:color w:val="000000"/>
          <w:sz w:val="24"/>
        </w:rPr>
      </w:pPr>
      <w:r>
        <w:rPr>
          <w:rFonts w:ascii="宋体" w:hAnsi="宋体" w:cs="Arial"/>
          <w:color w:val="000000"/>
          <w:sz w:val="24"/>
        </w:rPr>
        <w:t>竣工文档包括的主要内容有：</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工程项目开工报告</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施工组织设计</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设计、施工人员名单</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技术交底</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图纸会审</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工程洽商</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设计、施工变更通知书</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材料、设备、构件和质量合格证明</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设备安装记录</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检验、检测报告</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质量事故处理记录</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工程施工进度记录和施工日志</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隐蔽工程检查记录</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工程项目竣工报告</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工程竣工及验收资料</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各系统工程设计说明</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各系统竣工图</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各系统调、测试大纲</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各系统设备清单、产品说明书、操作手册</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各系统试运行记录</w:t>
      </w:r>
    </w:p>
    <w:p>
      <w:pPr>
        <w:numPr>
          <w:ilvl w:val="2"/>
          <w:numId w:val="111"/>
        </w:numPr>
        <w:tabs>
          <w:tab w:val="left" w:pos="680"/>
          <w:tab w:val="clear" w:pos="2040"/>
        </w:tabs>
        <w:spacing w:line="360" w:lineRule="auto"/>
        <w:ind w:left="679" w:leftChars="0" w:hanging="679" w:hangingChars="283"/>
        <w:rPr>
          <w:rFonts w:ascii="宋体" w:hAnsi="宋体" w:cs="Arial"/>
          <w:color w:val="000000"/>
          <w:sz w:val="24"/>
        </w:rPr>
      </w:pPr>
      <w:r>
        <w:rPr>
          <w:rFonts w:ascii="宋体" w:hAnsi="宋体" w:cs="Arial"/>
          <w:color w:val="000000"/>
          <w:sz w:val="24"/>
        </w:rPr>
        <w:t>培训大纲、计划、记录</w:t>
      </w:r>
    </w:p>
    <w:p>
      <w:pPr>
        <w:numPr>
          <w:ilvl w:val="2"/>
          <w:numId w:val="111"/>
        </w:numPr>
        <w:tabs>
          <w:tab w:val="left" w:pos="680"/>
          <w:tab w:val="clear" w:pos="2040"/>
        </w:tabs>
        <w:spacing w:line="360" w:lineRule="auto"/>
        <w:ind w:left="679" w:leftChars="0" w:hanging="679" w:hangingChars="283"/>
        <w:rPr>
          <w:rFonts w:hint="eastAsia" w:ascii="宋体" w:hAnsi="宋体" w:cs="Arial"/>
          <w:color w:val="000000"/>
          <w:sz w:val="24"/>
        </w:rPr>
      </w:pPr>
      <w:r>
        <w:rPr>
          <w:rFonts w:ascii="宋体" w:hAnsi="宋体" w:cs="Arial"/>
          <w:color w:val="000000"/>
          <w:sz w:val="24"/>
        </w:rPr>
        <w:t>其他文件，包括：供货合同及工程合同，线缆测试记录，系统设备测试报告及开箱验收记录；施工质量检查记录；设计、施工变更单等。</w:t>
      </w:r>
    </w:p>
    <w:p>
      <w:pPr>
        <w:pStyle w:val="3"/>
        <w:numPr>
          <w:ilvl w:val="1"/>
          <w:numId w:val="2"/>
        </w:numPr>
        <w:tabs>
          <w:tab w:val="left" w:pos="540"/>
          <w:tab w:val="clear" w:pos="1965"/>
        </w:tabs>
        <w:ind w:left="547" w:hanging="547"/>
        <w:rPr>
          <w:rFonts w:hint="eastAsia" w:ascii="宋体" w:hAnsi="宋体" w:eastAsia="宋体" w:cs="Arial"/>
          <w:bCs w:val="0"/>
          <w:color w:val="000000"/>
          <w:sz w:val="30"/>
          <w:szCs w:val="30"/>
        </w:rPr>
      </w:pPr>
      <w:bookmarkStart w:id="416" w:name="_Toc31779"/>
      <w:bookmarkStart w:id="417" w:name="_Toc11224"/>
      <w:bookmarkStart w:id="418" w:name="_Toc18654"/>
      <w:bookmarkStart w:id="419" w:name="_Toc8788"/>
      <w:bookmarkStart w:id="420" w:name="_Toc24837"/>
      <w:bookmarkStart w:id="421" w:name="_Toc93674472"/>
      <w:r>
        <w:rPr>
          <w:rFonts w:ascii="宋体" w:hAnsi="宋体" w:eastAsia="宋体" w:cs="Arial"/>
          <w:bCs w:val="0"/>
          <w:color w:val="000000"/>
          <w:sz w:val="30"/>
          <w:szCs w:val="30"/>
        </w:rPr>
        <w:t>施工界面管理</w:t>
      </w:r>
      <w:bookmarkEnd w:id="416"/>
      <w:bookmarkEnd w:id="417"/>
      <w:bookmarkEnd w:id="418"/>
      <w:bookmarkEnd w:id="419"/>
      <w:bookmarkEnd w:id="420"/>
      <w:bookmarkEnd w:id="421"/>
    </w:p>
    <w:p>
      <w:pPr>
        <w:tabs>
          <w:tab w:val="left" w:pos="180"/>
        </w:tabs>
        <w:spacing w:line="360" w:lineRule="auto"/>
        <w:ind w:firstLine="480"/>
        <w:rPr>
          <w:rFonts w:hint="eastAsia" w:ascii="宋体" w:hAnsi="宋体" w:cs="Arial"/>
          <w:color w:val="000000"/>
          <w:sz w:val="24"/>
        </w:rPr>
      </w:pPr>
      <w:r>
        <w:rPr>
          <w:rFonts w:ascii="宋体" w:hAnsi="宋体" w:cs="Arial"/>
          <w:color w:val="000000"/>
          <w:sz w:val="24"/>
        </w:rPr>
        <w:t>施工界面管理的中心内容是工程施工、设备安装工程施工和装修工程施工在其工程施工内容界面上的划分和协调。工程有一些与其他系统的接口界面，如与高、低压配电柜的接口界面等，这样在施工中必然存在各系统间的矛盾和冲突。为及时解决这些矛盾和冲突，调节施工中各个薄弱环节，我们将以定期工程调度会的方式来进行管理，建立文件报告制度，一切以书面方式进行记录、修改、协调措施等。</w:t>
      </w:r>
    </w:p>
    <w:p>
      <w:pPr>
        <w:pStyle w:val="4"/>
        <w:numPr>
          <w:ilvl w:val="1"/>
          <w:numId w:val="112"/>
        </w:numPr>
        <w:rPr>
          <w:rFonts w:hint="eastAsia" w:ascii="宋体" w:hAnsi="宋体"/>
          <w:sz w:val="28"/>
          <w:szCs w:val="28"/>
        </w:rPr>
      </w:pPr>
      <w:bookmarkStart w:id="422" w:name="_Toc15535"/>
      <w:bookmarkStart w:id="423" w:name="_Toc16277"/>
      <w:bookmarkStart w:id="424" w:name="_Toc29232"/>
      <w:bookmarkStart w:id="425" w:name="_Toc25516"/>
      <w:bookmarkStart w:id="426" w:name="_Toc25768"/>
      <w:bookmarkStart w:id="427" w:name="_Toc93674473"/>
      <w:r>
        <w:rPr>
          <w:rFonts w:ascii="宋体" w:hAnsi="宋体" w:cs="Arial"/>
          <w:bCs w:val="0"/>
          <w:color w:val="000000"/>
          <w:sz w:val="28"/>
          <w:szCs w:val="28"/>
        </w:rPr>
        <w:t>施工组织管理</w:t>
      </w:r>
      <w:bookmarkEnd w:id="422"/>
      <w:bookmarkEnd w:id="423"/>
      <w:bookmarkEnd w:id="424"/>
      <w:bookmarkEnd w:id="425"/>
      <w:bookmarkEnd w:id="426"/>
      <w:bookmarkEnd w:id="427"/>
    </w:p>
    <w:p>
      <w:pPr>
        <w:tabs>
          <w:tab w:val="left" w:pos="180"/>
        </w:tabs>
        <w:spacing w:line="360" w:lineRule="auto"/>
        <w:ind w:firstLine="480"/>
        <w:rPr>
          <w:rFonts w:hint="eastAsia" w:ascii="宋体" w:hAnsi="宋体" w:cs="Arial"/>
          <w:color w:val="000000"/>
          <w:sz w:val="24"/>
        </w:rPr>
      </w:pPr>
      <w:r>
        <w:rPr>
          <w:rFonts w:ascii="宋体" w:hAnsi="宋体" w:cs="Arial"/>
          <w:color w:val="000000"/>
          <w:sz w:val="24"/>
        </w:rPr>
        <w:t>为避免造成不必要的劳动力浪费，导致增加人工成本，必须合理的安排整个监控系统过程施工期间的工程管理人员、技术人员、安装工人和调试工程师的人数和这些人员的进场时间。这需要与施工进度管理密切配合，分阶段组织强有力的施工队伍，保质保量地按时完成这个阶段的施工任务。</w:t>
      </w:r>
    </w:p>
    <w:p>
      <w:pPr>
        <w:pStyle w:val="4"/>
        <w:numPr>
          <w:ilvl w:val="1"/>
          <w:numId w:val="112"/>
        </w:numPr>
        <w:rPr>
          <w:rFonts w:hint="eastAsia" w:ascii="宋体" w:hAnsi="宋体" w:cs="Arial"/>
          <w:bCs w:val="0"/>
          <w:color w:val="000000"/>
          <w:sz w:val="28"/>
          <w:szCs w:val="28"/>
        </w:rPr>
      </w:pPr>
      <w:bookmarkStart w:id="428" w:name="_Toc15216"/>
      <w:bookmarkStart w:id="429" w:name="_Toc7613"/>
      <w:bookmarkStart w:id="430" w:name="_Toc93674474"/>
      <w:bookmarkStart w:id="431" w:name="_Toc24176"/>
      <w:bookmarkStart w:id="432" w:name="_Toc28801"/>
      <w:bookmarkStart w:id="433" w:name="_Toc25452"/>
      <w:r>
        <w:rPr>
          <w:rFonts w:ascii="Arial" w:hAnsi="Arial" w:eastAsia="楷体_GB2312" w:cs="Arial"/>
          <w:color w:val="000000"/>
          <w:sz w:val="24"/>
        </w:rPr>
        <mc:AlternateContent>
          <mc:Choice Requires="wpg">
            <w:drawing>
              <wp:anchor distT="0" distB="0" distL="114300" distR="114300" simplePos="0" relativeHeight="251669504" behindDoc="0" locked="0" layoutInCell="1" allowOverlap="1">
                <wp:simplePos x="0" y="0"/>
                <wp:positionH relativeFrom="column">
                  <wp:posOffset>1600200</wp:posOffset>
                </wp:positionH>
                <wp:positionV relativeFrom="paragraph">
                  <wp:posOffset>990600</wp:posOffset>
                </wp:positionV>
                <wp:extent cx="2057400" cy="3962400"/>
                <wp:effectExtent l="4445" t="5080" r="8255" b="7620"/>
                <wp:wrapTopAndBottom/>
                <wp:docPr id="255" name="组合 295"/>
                <wp:cNvGraphicFramePr/>
                <a:graphic xmlns:a="http://schemas.openxmlformats.org/drawingml/2006/main">
                  <a:graphicData uri="http://schemas.microsoft.com/office/word/2010/wordprocessingGroup">
                    <wpg:wgp>
                      <wpg:cNvGrpSpPr/>
                      <wpg:grpSpPr>
                        <a:xfrm>
                          <a:off x="0" y="0"/>
                          <a:ext cx="2057400" cy="3962400"/>
                          <a:chOff x="3938" y="2220"/>
                          <a:chExt cx="3600" cy="7020"/>
                        </a:xfrm>
                      </wpg:grpSpPr>
                      <wps:wsp>
                        <wps:cNvPr id="163" name="矩形 280"/>
                        <wps:cNvSpPr/>
                        <wps:spPr>
                          <a:xfrm>
                            <a:off x="4118" y="2220"/>
                            <a:ext cx="32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材料、设备市场调查</w:t>
                              </w:r>
                            </w:p>
                          </w:txbxContent>
                        </wps:txbx>
                        <wps:bodyPr wrap="square" upright="1"/>
                      </wps:wsp>
                      <wps:wsp>
                        <wps:cNvPr id="164" name="矩形 281"/>
                        <wps:cNvSpPr/>
                        <wps:spPr>
                          <a:xfrm>
                            <a:off x="4298" y="3156"/>
                            <a:ext cx="27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材料、设备采购</w:t>
                              </w:r>
                            </w:p>
                          </w:txbxContent>
                        </wps:txbx>
                        <wps:bodyPr wrap="square" upright="1"/>
                      </wps:wsp>
                      <wps:wsp>
                        <wps:cNvPr id="165" name="矩形 282"/>
                        <wps:cNvSpPr/>
                        <wps:spPr>
                          <a:xfrm>
                            <a:off x="3938" y="4092"/>
                            <a:ext cx="36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材料、设备开箱质量检查、检测</w:t>
                              </w:r>
                            </w:p>
                          </w:txbxContent>
                        </wps:txbx>
                        <wps:bodyPr wrap="square" upright="1"/>
                      </wps:wsp>
                      <wps:wsp>
                        <wps:cNvPr id="166" name="矩形 283"/>
                        <wps:cNvSpPr/>
                        <wps:spPr>
                          <a:xfrm>
                            <a:off x="4118" y="5028"/>
                            <a:ext cx="32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收集合格证及设备使用说明</w:t>
                              </w:r>
                            </w:p>
                          </w:txbxContent>
                        </wps:txbx>
                        <wps:bodyPr wrap="square" upright="1"/>
                      </wps:wsp>
                      <wps:wsp>
                        <wps:cNvPr id="167" name="矩形 284"/>
                        <wps:cNvSpPr/>
                        <wps:spPr>
                          <a:xfrm>
                            <a:off x="4298" y="5964"/>
                            <a:ext cx="27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入库登记入帐</w:t>
                              </w:r>
                            </w:p>
                          </w:txbxContent>
                        </wps:txbx>
                        <wps:bodyPr wrap="square" upright="1"/>
                      </wps:wsp>
                      <wps:wsp>
                        <wps:cNvPr id="168" name="矩形 285"/>
                        <wps:cNvSpPr/>
                        <wps:spPr>
                          <a:xfrm>
                            <a:off x="4298" y="6900"/>
                            <a:ext cx="27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材料、设备领用</w:t>
                              </w:r>
                            </w:p>
                          </w:txbxContent>
                        </wps:txbx>
                        <wps:bodyPr wrap="square" upright="1"/>
                      </wps:wsp>
                      <wps:wsp>
                        <wps:cNvPr id="169" name="矩形 286"/>
                        <wps:cNvSpPr/>
                        <wps:spPr>
                          <a:xfrm>
                            <a:off x="4298" y="7836"/>
                            <a:ext cx="27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现场质量检查</w:t>
                              </w:r>
                            </w:p>
                          </w:txbxContent>
                        </wps:txbx>
                        <wps:bodyPr wrap="square" upright="1"/>
                      </wps:wsp>
                      <wps:wsp>
                        <wps:cNvPr id="170" name="矩形 287"/>
                        <wps:cNvSpPr/>
                        <wps:spPr>
                          <a:xfrm>
                            <a:off x="4658" y="8772"/>
                            <a:ext cx="19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施工使用</w:t>
                              </w:r>
                            </w:p>
                          </w:txbxContent>
                        </wps:txbx>
                        <wps:bodyPr wrap="square" upright="1"/>
                      </wps:wsp>
                      <wps:wsp>
                        <wps:cNvPr id="171" name="直线 288"/>
                        <wps:cNvCnPr/>
                        <wps:spPr>
                          <a:xfrm>
                            <a:off x="5558" y="2688"/>
                            <a:ext cx="0" cy="468"/>
                          </a:xfrm>
                          <a:prstGeom prst="line">
                            <a:avLst/>
                          </a:prstGeom>
                          <a:ln w="9525" cap="flat" cmpd="sng">
                            <a:solidFill>
                              <a:srgbClr val="000000"/>
                            </a:solidFill>
                            <a:prstDash val="solid"/>
                            <a:headEnd type="none" w="med" len="med"/>
                            <a:tailEnd type="triangle" w="med" len="med"/>
                          </a:ln>
                        </wps:spPr>
                        <wps:bodyPr upright="1"/>
                      </wps:wsp>
                      <wps:wsp>
                        <wps:cNvPr id="172" name="直线 289"/>
                        <wps:cNvCnPr/>
                        <wps:spPr>
                          <a:xfrm>
                            <a:off x="5558" y="3624"/>
                            <a:ext cx="0" cy="468"/>
                          </a:xfrm>
                          <a:prstGeom prst="line">
                            <a:avLst/>
                          </a:prstGeom>
                          <a:ln w="9525" cap="flat" cmpd="sng">
                            <a:solidFill>
                              <a:srgbClr val="000000"/>
                            </a:solidFill>
                            <a:prstDash val="solid"/>
                            <a:headEnd type="none" w="med" len="med"/>
                            <a:tailEnd type="triangle" w="med" len="med"/>
                          </a:ln>
                        </wps:spPr>
                        <wps:bodyPr upright="1"/>
                      </wps:wsp>
                      <wps:wsp>
                        <wps:cNvPr id="173" name="直线 290"/>
                        <wps:cNvCnPr/>
                        <wps:spPr>
                          <a:xfrm>
                            <a:off x="5558" y="4560"/>
                            <a:ext cx="0" cy="468"/>
                          </a:xfrm>
                          <a:prstGeom prst="line">
                            <a:avLst/>
                          </a:prstGeom>
                          <a:ln w="9525" cap="flat" cmpd="sng">
                            <a:solidFill>
                              <a:srgbClr val="000000"/>
                            </a:solidFill>
                            <a:prstDash val="solid"/>
                            <a:headEnd type="none" w="med" len="med"/>
                            <a:tailEnd type="triangle" w="med" len="med"/>
                          </a:ln>
                        </wps:spPr>
                        <wps:bodyPr upright="1"/>
                      </wps:wsp>
                      <wps:wsp>
                        <wps:cNvPr id="174" name="直线 291"/>
                        <wps:cNvCnPr/>
                        <wps:spPr>
                          <a:xfrm>
                            <a:off x="5558" y="8304"/>
                            <a:ext cx="0" cy="468"/>
                          </a:xfrm>
                          <a:prstGeom prst="line">
                            <a:avLst/>
                          </a:prstGeom>
                          <a:ln w="9525" cap="flat" cmpd="sng">
                            <a:solidFill>
                              <a:srgbClr val="000000"/>
                            </a:solidFill>
                            <a:prstDash val="solid"/>
                            <a:headEnd type="none" w="med" len="med"/>
                            <a:tailEnd type="triangle" w="med" len="med"/>
                          </a:ln>
                        </wps:spPr>
                        <wps:bodyPr upright="1"/>
                      </wps:wsp>
                      <wps:wsp>
                        <wps:cNvPr id="175" name="直线 292"/>
                        <wps:cNvCnPr/>
                        <wps:spPr>
                          <a:xfrm flipH="1">
                            <a:off x="5558" y="7368"/>
                            <a:ext cx="0" cy="468"/>
                          </a:xfrm>
                          <a:prstGeom prst="line">
                            <a:avLst/>
                          </a:prstGeom>
                          <a:ln w="9525" cap="flat" cmpd="sng">
                            <a:solidFill>
                              <a:srgbClr val="000000"/>
                            </a:solidFill>
                            <a:prstDash val="solid"/>
                            <a:headEnd type="none" w="med" len="med"/>
                            <a:tailEnd type="triangle" w="med" len="med"/>
                          </a:ln>
                        </wps:spPr>
                        <wps:bodyPr upright="1"/>
                      </wps:wsp>
                      <wps:wsp>
                        <wps:cNvPr id="176" name="直线 293"/>
                        <wps:cNvCnPr/>
                        <wps:spPr>
                          <a:xfrm>
                            <a:off x="5558" y="6432"/>
                            <a:ext cx="0" cy="468"/>
                          </a:xfrm>
                          <a:prstGeom prst="line">
                            <a:avLst/>
                          </a:prstGeom>
                          <a:ln w="9525" cap="flat" cmpd="sng">
                            <a:solidFill>
                              <a:srgbClr val="000000"/>
                            </a:solidFill>
                            <a:prstDash val="solid"/>
                            <a:headEnd type="none" w="med" len="med"/>
                            <a:tailEnd type="triangle" w="med" len="med"/>
                          </a:ln>
                        </wps:spPr>
                        <wps:bodyPr upright="1"/>
                      </wps:wsp>
                      <wps:wsp>
                        <wps:cNvPr id="177" name="直线 294"/>
                        <wps:cNvCnPr/>
                        <wps:spPr>
                          <a:xfrm>
                            <a:off x="5558" y="5496"/>
                            <a:ext cx="0" cy="468"/>
                          </a:xfrm>
                          <a:prstGeom prst="line">
                            <a:avLst/>
                          </a:prstGeom>
                          <a:ln w="9525" cap="flat" cmpd="sng">
                            <a:solidFill>
                              <a:srgbClr val="000000"/>
                            </a:solidFill>
                            <a:prstDash val="solid"/>
                            <a:headEnd type="none" w="med" len="med"/>
                            <a:tailEnd type="triangle" w="med" len="med"/>
                          </a:ln>
                        </wps:spPr>
                        <wps:bodyPr upright="1"/>
                      </wps:wsp>
                    </wpg:wgp>
                  </a:graphicData>
                </a:graphic>
              </wp:anchor>
            </w:drawing>
          </mc:Choice>
          <mc:Fallback>
            <w:pict>
              <v:group id="组合 295" o:spid="_x0000_s1026" o:spt="203" style="position:absolute;left:0pt;margin-left:126pt;margin-top:78pt;height:312pt;width:162pt;mso-wrap-distance-bottom:0pt;mso-wrap-distance-top:0pt;z-index:251669504;mso-width-relative:page;mso-height-relative:page;" coordorigin="3938,2220" coordsize="3600,7020" o:gfxdata="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">
                <o:lock v:ext="edit" aspectratio="f"/>
                <v:rect id="矩形 280" o:spid="_x0000_s1026" o:spt="1" style="position:absolute;left:4118;top:2220;height:468;width:3240;" fillcolor="#FFFFFF" filled="t" stroked="t" coordsize="21600,21600" o:gfxdata="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fwDy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材料、设备市场调查</w:t>
                        </w:r>
                      </w:p>
                    </w:txbxContent>
                  </v:textbox>
                </v:rect>
                <v:rect id="矩形 281" o:spid="_x0000_s1026" o:spt="1" style="position:absolute;left:4298;top:3156;height:468;width:2700;" fillcolor="#FFFFFF" filled="t" stroked="t" coordsize="21600,21600" o:gfxdata="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IVm7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材料、设备采购</w:t>
                        </w:r>
                      </w:p>
                    </w:txbxContent>
                  </v:textbox>
                </v:rect>
                <v:rect id="矩形 282" o:spid="_x0000_s1026" o:spt="1" style="position:absolute;left:3938;top:4092;height:468;width:3600;" fillcolor="#FFFFFF" filled="t" stroked="t" coordsize="21600,21600" o:gfxdata="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1ZPi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材料、设备开箱质量检查、检测</w:t>
                        </w:r>
                      </w:p>
                    </w:txbxContent>
                  </v:textbox>
                </v:rect>
                <v:rect id="矩形 283" o:spid="_x0000_s1026" o:spt="1" style="position:absolute;left:4118;top:5028;height:468;width:3240;" fillcolor="#FFFFFF" filled="t" stroked="t" coordsize="21600,21600" o:gfxdata="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9i6BQ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收集合格证及设备使用说明</w:t>
                        </w:r>
                      </w:p>
                    </w:txbxContent>
                  </v:textbox>
                </v:rect>
                <v:rect id="矩形 284" o:spid="_x0000_s1026" o:spt="1" style="position:absolute;left:4298;top:5964;height:468;width:2700;" fillcolor="#FFFFFF" filled="t" stroked="t" coordsize="21600,21600" o:gfxdata="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LHBcu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入库登记入帐</w:t>
                        </w:r>
                      </w:p>
                    </w:txbxContent>
                  </v:textbox>
                </v:rect>
                <v:rect id="矩形 285" o:spid="_x0000_s1026" o:spt="1" style="position:absolute;left:4298;top:6900;height:468;width:2700;" fillcolor="#FFFFFF" filled="t" stroked="t" coordsize="21600,21600" o:gfxdata="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WJG5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材料、设备领用</w:t>
                        </w:r>
                      </w:p>
                    </w:txbxContent>
                  </v:textbox>
                </v:rect>
                <v:rect id="矩形 286" o:spid="_x0000_s1026" o:spt="1" style="position:absolute;left:4298;top:7836;height:468;width:2700;" fillcolor="#FFFFFF" filled="t" stroked="t" coordsize="21600,21600" o:gfxdata="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UNC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现场质量检查</w:t>
                        </w:r>
                      </w:p>
                    </w:txbxContent>
                  </v:textbox>
                </v:rect>
                <v:rect id="矩形 287" o:spid="_x0000_s1026" o:spt="1" style="position:absolute;left:4658;top:8772;height:468;width:1980;" fillcolor="#FFFFFF" filled="t" stroked="t" coordsize="21600,21600" o:gfxdata="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PcLY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仿宋_GB2312"/>
                            <w:color w:val="000000"/>
                            <w:sz w:val="24"/>
                          </w:rPr>
                        </w:pPr>
                        <w:r>
                          <w:rPr>
                            <w:rFonts w:hint="eastAsia" w:eastAsia="仿宋_GB2312"/>
                            <w:color w:val="000000"/>
                            <w:sz w:val="24"/>
                          </w:rPr>
                          <w:t>施工使用</w:t>
                        </w:r>
                      </w:p>
                    </w:txbxContent>
                  </v:textbox>
                </v:rect>
                <v:line id="直线 288" o:spid="_x0000_s1026" o:spt="20" style="position:absolute;left:5558;top:2688;height:468;width:0;" filled="f" stroked="t" coordsize="21600,21600" o:gfxdata="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9yhQ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89" o:spid="_x0000_s1026" o:spt="20" style="position:absolute;left:5558;top:3624;height:468;width:0;" filled="f" stroked="t" coordsize="21600,21600" o:gfxdata="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W2J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90" o:spid="_x0000_s1026" o:spt="20" style="position:absolute;left:5558;top:4560;height:468;width:0;" filled="f" stroked="t" coordsize="21600,21600" o:gfxdata="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aRO8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91" o:spid="_x0000_s1026" o:spt="20" style="position:absolute;left:5558;top:8304;height:468;width:0;" filled="f" stroked="t" coordsize="21600,21600" o:gfxdata="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gIvI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92" o:spid="_x0000_s1026" o:spt="20" style="position:absolute;left:5558;top:7368;flip:x;height:468;width:0;" filled="f" stroked="t" coordsize="21600,21600" o:gfxdata="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ciLj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93" o:spid="_x0000_s1026" o:spt="20" style="position:absolute;left:5558;top:6432;height:468;width:0;" filled="f" stroked="t" coordsize="21600,21600" o:gfxdata="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HrAk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94" o:spid="_x0000_s1026" o:spt="20" style="position:absolute;left:5558;top:5496;height:468;width:0;" filled="f" stroked="t" coordsize="21600,21600" o:gfxdata="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UhW/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w10:wrap type="topAndBottom"/>
              </v:group>
            </w:pict>
          </mc:Fallback>
        </mc:AlternateContent>
      </w:r>
      <w:r>
        <w:rPr>
          <w:rFonts w:ascii="宋体" w:hAnsi="宋体" w:cs="Arial"/>
          <w:bCs w:val="0"/>
          <w:color w:val="000000"/>
          <w:sz w:val="28"/>
          <w:szCs w:val="28"/>
        </w:rPr>
        <w:t>施工现场</w:t>
      </w:r>
      <w:r>
        <w:rPr>
          <w:rFonts w:hint="eastAsia" w:ascii="宋体" w:hAnsi="宋体" w:cs="Arial"/>
          <w:bCs w:val="0"/>
          <w:color w:val="000000"/>
          <w:sz w:val="28"/>
          <w:szCs w:val="28"/>
        </w:rPr>
        <w:t>资料、</w:t>
      </w:r>
      <w:r>
        <w:rPr>
          <w:rFonts w:ascii="宋体" w:hAnsi="宋体" w:cs="Arial"/>
          <w:bCs w:val="0"/>
          <w:color w:val="000000"/>
          <w:sz w:val="28"/>
          <w:szCs w:val="28"/>
        </w:rPr>
        <w:t>材料管理</w:t>
      </w:r>
      <w:bookmarkEnd w:id="428"/>
      <w:bookmarkEnd w:id="429"/>
      <w:bookmarkEnd w:id="430"/>
      <w:bookmarkEnd w:id="431"/>
      <w:bookmarkEnd w:id="432"/>
      <w:bookmarkEnd w:id="433"/>
    </w:p>
    <w:p>
      <w:pPr>
        <w:tabs>
          <w:tab w:val="left" w:pos="-180"/>
        </w:tabs>
        <w:spacing w:line="360" w:lineRule="auto"/>
        <w:jc w:val="center"/>
        <w:outlineLvl w:val="1"/>
        <w:rPr>
          <w:rFonts w:hint="eastAsia" w:ascii="Arial" w:hAnsi="Arial" w:eastAsia="楷体_GB2312" w:cs="Arial"/>
          <w:color w:val="000000"/>
          <w:sz w:val="24"/>
        </w:rPr>
      </w:pPr>
      <w:bookmarkStart w:id="434" w:name="_Toc27017"/>
      <w:bookmarkStart w:id="435" w:name="_Toc11633"/>
      <w:bookmarkStart w:id="436" w:name="_Toc6300"/>
      <w:bookmarkStart w:id="437" w:name="_Toc9541"/>
      <w:r>
        <w:rPr>
          <w:rFonts w:hint="eastAsia" w:cs="Arial"/>
          <w:color w:val="000000"/>
          <w:sz w:val="24"/>
        </w:rPr>
        <w:t>材料料管理流程图</w:t>
      </w:r>
      <w:bookmarkEnd w:id="434"/>
      <w:bookmarkEnd w:id="435"/>
      <w:bookmarkEnd w:id="436"/>
      <w:bookmarkEnd w:id="437"/>
    </w:p>
    <w:p>
      <w:pPr>
        <w:rPr>
          <w:rFonts w:hint="eastAsia"/>
        </w:rPr>
      </w:pP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项目所用设备、仪器及施工材料的管理建立材料、设备台帐，做到帐物相符。</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对库房进行管理，保证库房设置在安全、干净、无腐蚀性的地方，防止物品的损坏和丢失。</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认真办理出入库手续。对在施工中临时采购的材料，入库前需经质量检查，合格证、质量证明资料齐全，性能指标符合要求方能入库。</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及时准备所需仪器、设备、工具，并在施工人员进驻工地之前备齐。</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做好仪器、设备、工具登记、保管、收借工作，作到账物相符。</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按仪器、设备使用的有效周期进行检查计量，使仪器、设备始终处于有效完好状态。</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工作结束后，收拾工具、器材余料、仪器、设备防止丢失。</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对员工进行使用、维护知识教育，以期达到正确合理使用，防止损坏。</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已经发现设备、仪器、工具损坏，及时汇报，以便采取应急措施。</w:t>
      </w:r>
    </w:p>
    <w:p>
      <w:pPr>
        <w:numPr>
          <w:ilvl w:val="0"/>
          <w:numId w:val="113"/>
        </w:numPr>
        <w:tabs>
          <w:tab w:val="left" w:pos="180"/>
          <w:tab w:val="left" w:pos="900"/>
          <w:tab w:val="clear" w:pos="360"/>
        </w:tabs>
        <w:spacing w:line="360" w:lineRule="auto"/>
        <w:ind w:left="1121" w:leftChars="171" w:hanging="540" w:hangingChars="225"/>
        <w:rPr>
          <w:rFonts w:ascii="宋体" w:hAnsi="宋体" w:cs="Arial"/>
          <w:color w:val="000000"/>
          <w:sz w:val="24"/>
        </w:rPr>
      </w:pPr>
      <w:r>
        <w:rPr>
          <w:rFonts w:ascii="宋体" w:hAnsi="宋体" w:cs="Arial"/>
          <w:color w:val="000000"/>
          <w:sz w:val="24"/>
        </w:rPr>
        <w:t>妥善保管仪器、设备、使用说明书，工程结束时归档。</w:t>
      </w:r>
    </w:p>
    <w:p>
      <w:pPr>
        <w:numPr>
          <w:ilvl w:val="0"/>
          <w:numId w:val="113"/>
        </w:numPr>
        <w:tabs>
          <w:tab w:val="left" w:pos="180"/>
          <w:tab w:val="left" w:pos="900"/>
          <w:tab w:val="clear" w:pos="360"/>
        </w:tabs>
        <w:spacing w:line="360" w:lineRule="auto"/>
        <w:ind w:left="1121" w:leftChars="171" w:hanging="540" w:hangingChars="225"/>
        <w:rPr>
          <w:rFonts w:hint="eastAsia" w:ascii="宋体" w:hAnsi="宋体" w:cs="Arial"/>
          <w:color w:val="000000"/>
          <w:sz w:val="24"/>
        </w:rPr>
      </w:pPr>
      <w:r>
        <w:rPr>
          <w:rFonts w:ascii="宋体" w:hAnsi="宋体" w:cs="Arial"/>
          <w:color w:val="000000"/>
          <w:sz w:val="24"/>
        </w:rPr>
        <w:t>现场施工材料的管理在施工中是极为重要的，需要一套完整和完善的管理流程。</w:t>
      </w:r>
    </w:p>
    <w:p>
      <w:pPr>
        <w:pStyle w:val="2"/>
        <w:numPr>
          <w:ilvl w:val="0"/>
          <w:numId w:val="2"/>
        </w:numPr>
        <w:jc w:val="center"/>
        <w:rPr>
          <w:rFonts w:hint="eastAsia" w:cs="Arial"/>
          <w:bCs w:val="0"/>
          <w:color w:val="000000"/>
          <w:sz w:val="32"/>
          <w:szCs w:val="32"/>
        </w:rPr>
      </w:pPr>
      <w:bookmarkStart w:id="438" w:name="_Toc93674465"/>
      <w:r>
        <w:rPr>
          <w:sz w:val="32"/>
          <w:szCs w:val="32"/>
        </w:rPr>
        <w:br w:type="page"/>
      </w:r>
      <w:bookmarkStart w:id="439" w:name="_Toc1398"/>
      <w:bookmarkStart w:id="440" w:name="_Toc17780"/>
      <w:bookmarkStart w:id="441" w:name="_Toc5704"/>
      <w:bookmarkStart w:id="442" w:name="_Toc25178"/>
      <w:bookmarkStart w:id="443" w:name="_Toc14609"/>
      <w:r>
        <w:rPr>
          <w:rFonts w:hint="eastAsia"/>
          <w:sz w:val="32"/>
          <w:szCs w:val="32"/>
        </w:rPr>
        <w:t>调试验收与培训</w:t>
      </w:r>
      <w:bookmarkEnd w:id="438"/>
      <w:r>
        <w:rPr>
          <w:rFonts w:hint="eastAsia" w:cs="Arial"/>
          <w:bCs w:val="0"/>
          <w:color w:val="000000"/>
          <w:sz w:val="32"/>
          <w:szCs w:val="32"/>
        </w:rPr>
        <w:t>管理</w:t>
      </w:r>
      <w:bookmarkEnd w:id="439"/>
      <w:bookmarkEnd w:id="440"/>
      <w:bookmarkEnd w:id="441"/>
      <w:bookmarkEnd w:id="442"/>
      <w:bookmarkEnd w:id="443"/>
    </w:p>
    <w:p>
      <w:pPr>
        <w:pStyle w:val="3"/>
        <w:numPr>
          <w:ilvl w:val="1"/>
          <w:numId w:val="2"/>
        </w:numPr>
        <w:rPr>
          <w:rFonts w:hint="eastAsia" w:ascii="宋体" w:hAnsi="宋体" w:eastAsia="宋体" w:cs="Arial"/>
          <w:bCs w:val="0"/>
          <w:color w:val="000000"/>
          <w:sz w:val="30"/>
          <w:szCs w:val="30"/>
        </w:rPr>
      </w:pPr>
      <w:bookmarkStart w:id="444" w:name="_Toc21061"/>
      <w:bookmarkStart w:id="445" w:name="_Toc25991"/>
      <w:bookmarkStart w:id="446" w:name="_Toc3231"/>
      <w:bookmarkStart w:id="447" w:name="_Toc93674467"/>
      <w:bookmarkStart w:id="448" w:name="_Toc18846"/>
      <w:bookmarkStart w:id="449" w:name="_Toc6694"/>
      <w:r>
        <w:rPr>
          <w:rFonts w:ascii="宋体" w:hAnsi="宋体" w:eastAsia="宋体" w:cs="Arial"/>
          <w:bCs w:val="0"/>
          <w:color w:val="000000"/>
          <w:sz w:val="30"/>
          <w:szCs w:val="30"/>
        </w:rPr>
        <w:t>系统调试与预验收</w:t>
      </w:r>
      <w:bookmarkEnd w:id="444"/>
      <w:bookmarkEnd w:id="445"/>
      <w:bookmarkEnd w:id="446"/>
      <w:bookmarkEnd w:id="447"/>
      <w:bookmarkEnd w:id="448"/>
      <w:bookmarkEnd w:id="449"/>
    </w:p>
    <w:p>
      <w:pPr>
        <w:spacing w:line="360" w:lineRule="auto"/>
        <w:ind w:firstLine="480" w:firstLineChars="200"/>
        <w:rPr>
          <w:rFonts w:hint="eastAsia" w:ascii="宋体" w:hAnsi="宋体" w:cs="Arial"/>
          <w:sz w:val="24"/>
        </w:rPr>
      </w:pPr>
      <w:r>
        <w:rPr>
          <w:rFonts w:ascii="宋体" w:hAnsi="宋体" w:cs="Arial"/>
          <w:sz w:val="24"/>
        </w:rPr>
        <w:t>系统调试的主要内容包括调试准备、线缆测试、单体设备调试、单项系统调试、系统联动调试等。系统调试人员由专业技术人员担任。</w:t>
      </w:r>
    </w:p>
    <w:p>
      <w:pPr>
        <w:pStyle w:val="4"/>
        <w:numPr>
          <w:ilvl w:val="1"/>
          <w:numId w:val="114"/>
        </w:numPr>
        <w:rPr>
          <w:rFonts w:hint="eastAsia" w:ascii="宋体" w:hAnsi="宋体"/>
          <w:sz w:val="28"/>
          <w:szCs w:val="28"/>
        </w:rPr>
      </w:pPr>
      <w:bookmarkStart w:id="450" w:name="_Toc30314"/>
      <w:bookmarkStart w:id="451" w:name="_Toc10808"/>
      <w:bookmarkStart w:id="452" w:name="_Toc23990"/>
      <w:bookmarkStart w:id="453" w:name="_Toc12807"/>
      <w:bookmarkStart w:id="454" w:name="_Toc27878"/>
      <w:r>
        <w:rPr>
          <w:rFonts w:ascii="宋体" w:hAnsi="宋体" w:cs="Arial"/>
          <w:bCs w:val="0"/>
          <w:color w:val="000000"/>
          <w:sz w:val="28"/>
          <w:szCs w:val="28"/>
        </w:rPr>
        <w:t>调试大纲与操作步骤</w:t>
      </w:r>
      <w:bookmarkEnd w:id="450"/>
      <w:bookmarkEnd w:id="451"/>
      <w:bookmarkEnd w:id="452"/>
      <w:bookmarkEnd w:id="453"/>
      <w:bookmarkEnd w:id="454"/>
    </w:p>
    <w:p>
      <w:pPr>
        <w:numPr>
          <w:ilvl w:val="0"/>
          <w:numId w:val="115"/>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编制系统调试大纲。向监理、甲方提交的调试计划，经审核批准后执行。</w:t>
      </w:r>
    </w:p>
    <w:p>
      <w:pPr>
        <w:numPr>
          <w:ilvl w:val="0"/>
          <w:numId w:val="115"/>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系统调试前，对每一项工程进行测验质量策划，针对性地准备好设备平面布置图、接线图、安装图、系统图、测试方法、内容及其他必要的技术文件。</w:t>
      </w:r>
    </w:p>
    <w:p>
      <w:pPr>
        <w:numPr>
          <w:ilvl w:val="0"/>
          <w:numId w:val="115"/>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调试前审核设备、管线是否按设计要求施工。对检测所用仪器仪表进行校准。</w:t>
      </w:r>
    </w:p>
    <w:p>
      <w:pPr>
        <w:numPr>
          <w:ilvl w:val="0"/>
          <w:numId w:val="115"/>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检查系统线路，对线缆导能、绝缘等性能进行测试并做文字记录。</w:t>
      </w:r>
    </w:p>
    <w:p>
      <w:pPr>
        <w:numPr>
          <w:ilvl w:val="0"/>
          <w:numId w:val="115"/>
        </w:numPr>
        <w:tabs>
          <w:tab w:val="left" w:pos="900"/>
          <w:tab w:val="clear" w:pos="420"/>
        </w:tabs>
        <w:spacing w:line="360" w:lineRule="auto"/>
        <w:ind w:left="900" w:hanging="540"/>
        <w:rPr>
          <w:rFonts w:hint="eastAsia" w:ascii="宋体" w:hAnsi="宋体" w:cs="Arial"/>
          <w:color w:val="000000"/>
          <w:sz w:val="24"/>
        </w:rPr>
      </w:pPr>
      <w:r>
        <w:rPr>
          <w:rFonts w:ascii="宋体" w:hAnsi="宋体" w:cs="Arial"/>
          <w:color w:val="000000"/>
          <w:sz w:val="24"/>
        </w:rPr>
        <w:t>设备在供电前注意供电的电压、极性、相位等。</w:t>
      </w:r>
    </w:p>
    <w:p>
      <w:pPr>
        <w:spacing w:line="360" w:lineRule="auto"/>
        <w:ind w:firstLine="482" w:firstLineChars="200"/>
        <w:rPr>
          <w:rFonts w:hint="eastAsia" w:ascii="宋体" w:hAnsi="宋体" w:cs="Arial"/>
          <w:b/>
          <w:bCs/>
          <w:color w:val="000000"/>
          <w:sz w:val="24"/>
        </w:rPr>
      </w:pPr>
    </w:p>
    <w:p>
      <w:pPr>
        <w:pStyle w:val="4"/>
        <w:numPr>
          <w:ilvl w:val="1"/>
          <w:numId w:val="114"/>
        </w:numPr>
        <w:rPr>
          <w:rFonts w:hint="eastAsia" w:ascii="宋体" w:hAnsi="宋体"/>
          <w:sz w:val="28"/>
          <w:szCs w:val="28"/>
        </w:rPr>
      </w:pPr>
      <w:bookmarkStart w:id="455" w:name="_Toc25442"/>
      <w:bookmarkStart w:id="456" w:name="_Toc13338"/>
      <w:bookmarkStart w:id="457" w:name="_Toc5130"/>
      <w:bookmarkStart w:id="458" w:name="_Toc1827"/>
      <w:bookmarkStart w:id="459" w:name="_Toc25563"/>
      <w:r>
        <w:rPr>
          <w:rFonts w:cs="Arial"/>
          <w:bCs w:val="0"/>
          <w:color w:val="000000"/>
          <w:sz w:val="28"/>
          <w:szCs w:val="28"/>
        </w:rPr>
        <w:t>系统调试总体要求</w:t>
      </w:r>
      <w:bookmarkEnd w:id="455"/>
      <w:bookmarkEnd w:id="456"/>
      <w:bookmarkEnd w:id="457"/>
      <w:bookmarkEnd w:id="458"/>
      <w:bookmarkEnd w:id="459"/>
    </w:p>
    <w:p>
      <w:pPr>
        <w:numPr>
          <w:ilvl w:val="0"/>
          <w:numId w:val="116"/>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线缆调试</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设备、管线安装完毕，调试人员应施工图对实际施工管线、设备安装位置的走向、接线端子号等进行复核，同时对线缆的导通、绝缘、传输性能指标进行测试，未达到设计要求的，进行整改，整改完成后复测并记录，测试过程中做好测试记录。</w:t>
      </w:r>
    </w:p>
    <w:p>
      <w:pPr>
        <w:numPr>
          <w:ilvl w:val="0"/>
          <w:numId w:val="116"/>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软件调试</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按施工工期、进度来安排人员进行需求调研、软件编写及调试工作。</w:t>
      </w:r>
    </w:p>
    <w:p>
      <w:pPr>
        <w:numPr>
          <w:ilvl w:val="0"/>
          <w:numId w:val="116"/>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单体设备调试</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线缆测试完毕后，对单体设备如</w:t>
      </w:r>
      <w:r>
        <w:rPr>
          <w:rFonts w:hint="eastAsia" w:ascii="宋体" w:hAnsi="宋体" w:cs="Arial"/>
          <w:sz w:val="24"/>
          <w:lang w:val="en-US" w:eastAsia="zh-CN"/>
        </w:rPr>
        <w:t>测速仪</w:t>
      </w:r>
      <w:r>
        <w:rPr>
          <w:rFonts w:ascii="宋体" w:hAnsi="宋体" w:cs="Arial"/>
          <w:sz w:val="24"/>
        </w:rPr>
        <w:t>、</w:t>
      </w:r>
      <w:r>
        <w:rPr>
          <w:rFonts w:hint="eastAsia" w:ascii="宋体" w:hAnsi="宋体" w:cs="Arial"/>
          <w:sz w:val="24"/>
          <w:lang w:val="en-US" w:eastAsia="zh-CN"/>
        </w:rPr>
        <w:t>抓拍</w:t>
      </w:r>
      <w:r>
        <w:rPr>
          <w:rFonts w:ascii="宋体" w:hAnsi="宋体" w:cs="Arial"/>
          <w:sz w:val="24"/>
        </w:rPr>
        <w:t>摄像机、</w:t>
      </w:r>
      <w:r>
        <w:rPr>
          <w:rFonts w:hint="eastAsia" w:ascii="宋体" w:hAnsi="宋体" w:cs="Arial"/>
          <w:sz w:val="24"/>
          <w:lang w:val="en-US" w:eastAsia="zh-CN"/>
        </w:rPr>
        <w:t>频闪灯</w:t>
      </w:r>
      <w:r>
        <w:rPr>
          <w:rFonts w:ascii="宋体" w:hAnsi="宋体" w:cs="Arial"/>
          <w:sz w:val="24"/>
        </w:rPr>
        <w:t>、控制器性能等进行调试。调试通过，做好调试记录，会同甲方、监理方签字，作为能开始系统调试的必备条件和主要设备中间验收交付的依据。</w:t>
      </w:r>
    </w:p>
    <w:p>
      <w:pPr>
        <w:numPr>
          <w:ilvl w:val="0"/>
          <w:numId w:val="116"/>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单项系统调试</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进行各子系统的独立调试，做好调试记录，会同甲方、监理方签字，有利于划清工作界限，作为单项系统可以投入试运行的依据。</w:t>
      </w:r>
    </w:p>
    <w:p>
      <w:pPr>
        <w:numPr>
          <w:ilvl w:val="0"/>
          <w:numId w:val="116"/>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系统联动测试</w:t>
      </w:r>
    </w:p>
    <w:p>
      <w:pPr>
        <w:pStyle w:val="12"/>
        <w:tabs>
          <w:tab w:val="left" w:pos="1260"/>
        </w:tabs>
        <w:spacing w:line="360" w:lineRule="auto"/>
        <w:ind w:left="680" w:leftChars="200" w:firstLine="480" w:firstLineChars="200"/>
        <w:rPr>
          <w:rFonts w:hint="eastAsia" w:ascii="宋体" w:hAnsi="宋体" w:cs="Arial"/>
          <w:sz w:val="24"/>
        </w:rPr>
      </w:pPr>
      <w:r>
        <w:rPr>
          <w:rFonts w:ascii="宋体" w:hAnsi="宋体" w:cs="Arial"/>
          <w:sz w:val="24"/>
        </w:rPr>
        <w:t>系统联动调试是在完成各单项系统调试的基础上进行的。联动调试过程中，调试阶段的现场管理组织要协调各系统的调试进度，合理划分工作界面，提供必要的数据接口。调试时应按计划实施，注意安全操作和产品保护，做好调试记录，会同甲方、监理方签字，作为系统可以投入试运行的依据。</w:t>
      </w:r>
    </w:p>
    <w:p>
      <w:pPr>
        <w:pStyle w:val="4"/>
        <w:numPr>
          <w:ilvl w:val="1"/>
          <w:numId w:val="114"/>
        </w:numPr>
        <w:rPr>
          <w:rFonts w:hint="eastAsia" w:ascii="宋体" w:hAnsi="宋体"/>
          <w:sz w:val="28"/>
          <w:szCs w:val="28"/>
        </w:rPr>
      </w:pPr>
      <w:bookmarkStart w:id="460" w:name="_Toc4090"/>
      <w:bookmarkStart w:id="461" w:name="_Toc3507"/>
      <w:bookmarkStart w:id="462" w:name="_Toc31469"/>
      <w:bookmarkStart w:id="463" w:name="_Toc20878"/>
      <w:bookmarkStart w:id="464" w:name="_Toc21480"/>
      <w:r>
        <w:rPr>
          <w:rFonts w:cs="Arial"/>
          <w:bCs w:val="0"/>
          <w:color w:val="000000"/>
          <w:sz w:val="28"/>
          <w:szCs w:val="28"/>
        </w:rPr>
        <w:t>系统预验收</w:t>
      </w:r>
      <w:bookmarkEnd w:id="460"/>
      <w:bookmarkEnd w:id="461"/>
      <w:bookmarkEnd w:id="462"/>
      <w:bookmarkEnd w:id="463"/>
      <w:bookmarkEnd w:id="464"/>
    </w:p>
    <w:p>
      <w:pPr>
        <w:spacing w:line="360" w:lineRule="auto"/>
        <w:ind w:firstLine="480" w:firstLineChars="200"/>
        <w:rPr>
          <w:rFonts w:hint="eastAsia" w:ascii="宋体" w:hAnsi="宋体" w:cs="Arial"/>
          <w:color w:val="000000"/>
          <w:sz w:val="24"/>
        </w:rPr>
      </w:pPr>
      <w:r>
        <w:rPr>
          <w:rFonts w:hint="eastAsia" w:ascii="宋体" w:hAnsi="宋体" w:cs="Arial"/>
          <w:bCs/>
          <w:color w:val="000000"/>
          <w:sz w:val="24"/>
        </w:rPr>
        <mc:AlternateContent>
          <mc:Choice Requires="wpg">
            <w:drawing>
              <wp:anchor distT="0" distB="0" distL="114300" distR="114300" simplePos="0" relativeHeight="251667456" behindDoc="0" locked="0" layoutInCell="1" allowOverlap="1">
                <wp:simplePos x="0" y="0"/>
                <wp:positionH relativeFrom="column">
                  <wp:posOffset>114300</wp:posOffset>
                </wp:positionH>
                <wp:positionV relativeFrom="paragraph">
                  <wp:posOffset>1155700</wp:posOffset>
                </wp:positionV>
                <wp:extent cx="5080635" cy="3054350"/>
                <wp:effectExtent l="4445" t="5080" r="7620" b="13970"/>
                <wp:wrapTopAndBottom/>
                <wp:docPr id="256" name="组合 223"/>
                <wp:cNvGraphicFramePr/>
                <a:graphic xmlns:a="http://schemas.openxmlformats.org/drawingml/2006/main">
                  <a:graphicData uri="http://schemas.microsoft.com/office/word/2010/wordprocessingGroup">
                    <wpg:wgp>
                      <wpg:cNvGrpSpPr/>
                      <wpg:grpSpPr>
                        <a:xfrm>
                          <a:off x="0" y="0"/>
                          <a:ext cx="5080635" cy="3054350"/>
                          <a:chOff x="1440" y="1596"/>
                          <a:chExt cx="9000" cy="5928"/>
                        </a:xfrm>
                      </wpg:grpSpPr>
                      <wps:wsp>
                        <wps:cNvPr id="116" name="矩形 224"/>
                        <wps:cNvSpPr/>
                        <wps:spPr>
                          <a:xfrm>
                            <a:off x="4860" y="1596"/>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预验收申请表</w:t>
                              </w:r>
                            </w:p>
                          </w:txbxContent>
                        </wps:txbx>
                        <wps:bodyPr wrap="square" upright="1"/>
                      </wps:wsp>
                      <wps:wsp>
                        <wps:cNvPr id="117" name="矩形 225"/>
                        <wps:cNvSpPr/>
                        <wps:spPr>
                          <a:xfrm>
                            <a:off x="1440" y="3000"/>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kern w:val="0"/>
                                  <w:sz w:val="21"/>
                                  <w:szCs w:val="21"/>
                                </w:rPr>
                                <w:t>工程预验收报</w:t>
                              </w:r>
                              <w:r>
                                <w:rPr>
                                  <w:rFonts w:hint="eastAsia" w:eastAsia="仿宋_GB2312"/>
                                  <w:color w:val="000000"/>
                                  <w:sz w:val="21"/>
                                  <w:szCs w:val="21"/>
                                </w:rPr>
                                <w:t>告</w:t>
                              </w:r>
                            </w:p>
                          </w:txbxContent>
                        </wps:txbx>
                        <wps:bodyPr wrap="square" upright="1"/>
                      </wps:wsp>
                      <wps:wsp>
                        <wps:cNvPr id="118" name="矩形 226"/>
                        <wps:cNvSpPr/>
                        <wps:spPr>
                          <a:xfrm>
                            <a:off x="3780" y="3000"/>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工程图纸资料告</w:t>
                              </w:r>
                            </w:p>
                          </w:txbxContent>
                        </wps:txbx>
                        <wps:bodyPr wrap="square" upright="1"/>
                      </wps:wsp>
                      <wps:wsp>
                        <wps:cNvPr id="119" name="矩形 227"/>
                        <wps:cNvSpPr/>
                        <wps:spPr>
                          <a:xfrm>
                            <a:off x="5940" y="3000"/>
                            <a:ext cx="25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各系统设备操作手册</w:t>
                              </w:r>
                            </w:p>
                          </w:txbxContent>
                        </wps:txbx>
                        <wps:bodyPr wrap="square" upright="1"/>
                      </wps:wsp>
                      <wps:wsp>
                        <wps:cNvPr id="120" name="矩形 228"/>
                        <wps:cNvSpPr/>
                        <wps:spPr>
                          <a:xfrm>
                            <a:off x="8640" y="3000"/>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系统测试记录</w:t>
                              </w:r>
                            </w:p>
                          </w:txbxContent>
                        </wps:txbx>
                        <wps:bodyPr wrap="square" upright="1"/>
                      </wps:wsp>
                      <wps:wsp>
                        <wps:cNvPr id="121" name="矩形 229"/>
                        <wps:cNvSpPr/>
                        <wps:spPr>
                          <a:xfrm>
                            <a:off x="4140" y="4872"/>
                            <a:ext cx="37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公司相关部门审查预验收资料</w:t>
                              </w:r>
                            </w:p>
                          </w:txbxContent>
                        </wps:txbx>
                        <wps:bodyPr wrap="square" upright="1"/>
                      </wps:wsp>
                      <wps:wsp>
                        <wps:cNvPr id="122" name="矩形 230"/>
                        <wps:cNvSpPr/>
                        <wps:spPr>
                          <a:xfrm>
                            <a:off x="4500" y="5964"/>
                            <a:ext cx="30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资料审查通过同意预验收</w:t>
                              </w:r>
                            </w:p>
                          </w:txbxContent>
                        </wps:txbx>
                        <wps:bodyPr wrap="square" upright="1"/>
                      </wps:wsp>
                      <wps:wsp>
                        <wps:cNvPr id="123" name="矩形 231"/>
                        <wps:cNvSpPr/>
                        <wps:spPr>
                          <a:xfrm>
                            <a:off x="4860" y="7056"/>
                            <a:ext cx="21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olor w:val="000000"/>
                                  <w:sz w:val="21"/>
                                  <w:szCs w:val="21"/>
                                </w:rPr>
                              </w:pPr>
                              <w:r>
                                <w:rPr>
                                  <w:rFonts w:hint="eastAsia" w:eastAsia="仿宋_GB2312"/>
                                  <w:color w:val="000000"/>
                                  <w:sz w:val="21"/>
                                  <w:szCs w:val="21"/>
                                </w:rPr>
                                <w:t>系统进行预验收</w:t>
                              </w:r>
                            </w:p>
                          </w:txbxContent>
                        </wps:txbx>
                        <wps:bodyPr wrap="square" upright="1"/>
                      </wps:wsp>
                      <wps:wsp>
                        <wps:cNvPr id="124" name="直线 232"/>
                        <wps:cNvCnPr/>
                        <wps:spPr>
                          <a:xfrm>
                            <a:off x="5940" y="6432"/>
                            <a:ext cx="0" cy="624"/>
                          </a:xfrm>
                          <a:prstGeom prst="line">
                            <a:avLst/>
                          </a:prstGeom>
                          <a:ln w="9525" cap="flat" cmpd="sng">
                            <a:solidFill>
                              <a:srgbClr val="000000"/>
                            </a:solidFill>
                            <a:prstDash val="solid"/>
                            <a:headEnd type="none" w="med" len="med"/>
                            <a:tailEnd type="triangle" w="med" len="med"/>
                          </a:ln>
                        </wps:spPr>
                        <wps:bodyPr upright="1"/>
                      </wps:wsp>
                      <wps:wsp>
                        <wps:cNvPr id="125" name="直线 233"/>
                        <wps:cNvCnPr/>
                        <wps:spPr>
                          <a:xfrm>
                            <a:off x="5940" y="5340"/>
                            <a:ext cx="0" cy="624"/>
                          </a:xfrm>
                          <a:prstGeom prst="line">
                            <a:avLst/>
                          </a:prstGeom>
                          <a:ln w="9525" cap="flat" cmpd="sng">
                            <a:solidFill>
                              <a:srgbClr val="000000"/>
                            </a:solidFill>
                            <a:prstDash val="solid"/>
                            <a:headEnd type="none" w="med" len="med"/>
                            <a:tailEnd type="triangle" w="med" len="med"/>
                          </a:ln>
                        </wps:spPr>
                        <wps:bodyPr upright="1"/>
                      </wps:wsp>
                      <wps:wsp>
                        <wps:cNvPr id="126" name="直线 234"/>
                        <wps:cNvCnPr/>
                        <wps:spPr>
                          <a:xfrm>
                            <a:off x="5940" y="4092"/>
                            <a:ext cx="0" cy="780"/>
                          </a:xfrm>
                          <a:prstGeom prst="line">
                            <a:avLst/>
                          </a:prstGeom>
                          <a:ln w="9525" cap="flat" cmpd="sng">
                            <a:solidFill>
                              <a:srgbClr val="000000"/>
                            </a:solidFill>
                            <a:prstDash val="solid"/>
                            <a:headEnd type="none" w="med" len="med"/>
                            <a:tailEnd type="triangle" w="med" len="med"/>
                          </a:ln>
                        </wps:spPr>
                        <wps:bodyPr upright="1"/>
                      </wps:wsp>
                      <wps:wsp>
                        <wps:cNvPr id="127" name="直线 235"/>
                        <wps:cNvCnPr/>
                        <wps:spPr>
                          <a:xfrm>
                            <a:off x="2340" y="2376"/>
                            <a:ext cx="7200" cy="0"/>
                          </a:xfrm>
                          <a:prstGeom prst="line">
                            <a:avLst/>
                          </a:prstGeom>
                          <a:ln w="9525" cap="flat" cmpd="sng">
                            <a:solidFill>
                              <a:srgbClr val="000000"/>
                            </a:solidFill>
                            <a:prstDash val="solid"/>
                            <a:headEnd type="none" w="med" len="med"/>
                            <a:tailEnd type="none" w="med" len="med"/>
                          </a:ln>
                        </wps:spPr>
                        <wps:bodyPr upright="1"/>
                      </wps:wsp>
                      <wps:wsp>
                        <wps:cNvPr id="128" name="直线 236"/>
                        <wps:cNvCnPr/>
                        <wps:spPr>
                          <a:xfrm>
                            <a:off x="2340" y="2376"/>
                            <a:ext cx="0" cy="624"/>
                          </a:xfrm>
                          <a:prstGeom prst="line">
                            <a:avLst/>
                          </a:prstGeom>
                          <a:ln w="9525" cap="flat" cmpd="sng">
                            <a:solidFill>
                              <a:srgbClr val="000000"/>
                            </a:solidFill>
                            <a:prstDash val="solid"/>
                            <a:headEnd type="none" w="med" len="med"/>
                            <a:tailEnd type="triangle" w="med" len="med"/>
                          </a:ln>
                        </wps:spPr>
                        <wps:bodyPr upright="1"/>
                      </wps:wsp>
                      <wps:wsp>
                        <wps:cNvPr id="129" name="直线 237"/>
                        <wps:cNvCnPr/>
                        <wps:spPr>
                          <a:xfrm>
                            <a:off x="4860" y="2376"/>
                            <a:ext cx="0" cy="624"/>
                          </a:xfrm>
                          <a:prstGeom prst="line">
                            <a:avLst/>
                          </a:prstGeom>
                          <a:ln w="9525" cap="flat" cmpd="sng">
                            <a:solidFill>
                              <a:srgbClr val="000000"/>
                            </a:solidFill>
                            <a:prstDash val="solid"/>
                            <a:headEnd type="none" w="med" len="med"/>
                            <a:tailEnd type="triangle" w="med" len="med"/>
                          </a:ln>
                        </wps:spPr>
                        <wps:bodyPr upright="1"/>
                      </wps:wsp>
                      <wps:wsp>
                        <wps:cNvPr id="130" name="直线 238"/>
                        <wps:cNvCnPr/>
                        <wps:spPr>
                          <a:xfrm>
                            <a:off x="7200" y="2376"/>
                            <a:ext cx="0" cy="624"/>
                          </a:xfrm>
                          <a:prstGeom prst="line">
                            <a:avLst/>
                          </a:prstGeom>
                          <a:ln w="9525" cap="flat" cmpd="sng">
                            <a:solidFill>
                              <a:srgbClr val="000000"/>
                            </a:solidFill>
                            <a:prstDash val="solid"/>
                            <a:headEnd type="none" w="med" len="med"/>
                            <a:tailEnd type="triangle" w="med" len="med"/>
                          </a:ln>
                        </wps:spPr>
                        <wps:bodyPr upright="1"/>
                      </wps:wsp>
                      <wps:wsp>
                        <wps:cNvPr id="131" name="直线 239"/>
                        <wps:cNvCnPr/>
                        <wps:spPr>
                          <a:xfrm>
                            <a:off x="9540" y="2376"/>
                            <a:ext cx="0" cy="624"/>
                          </a:xfrm>
                          <a:prstGeom prst="line">
                            <a:avLst/>
                          </a:prstGeom>
                          <a:ln w="9525" cap="flat" cmpd="sng">
                            <a:solidFill>
                              <a:srgbClr val="000000"/>
                            </a:solidFill>
                            <a:prstDash val="solid"/>
                            <a:headEnd type="none" w="med" len="med"/>
                            <a:tailEnd type="triangle" w="med" len="med"/>
                          </a:ln>
                        </wps:spPr>
                        <wps:bodyPr upright="1"/>
                      </wps:wsp>
                      <wps:wsp>
                        <wps:cNvPr id="132" name="直线 240"/>
                        <wps:cNvCnPr/>
                        <wps:spPr>
                          <a:xfrm>
                            <a:off x="5940" y="2064"/>
                            <a:ext cx="0" cy="312"/>
                          </a:xfrm>
                          <a:prstGeom prst="line">
                            <a:avLst/>
                          </a:prstGeom>
                          <a:ln w="9525" cap="flat" cmpd="sng">
                            <a:solidFill>
                              <a:srgbClr val="000000"/>
                            </a:solidFill>
                            <a:prstDash val="solid"/>
                            <a:headEnd type="none" w="med" len="med"/>
                            <a:tailEnd type="triangle" w="med" len="med"/>
                          </a:ln>
                        </wps:spPr>
                        <wps:bodyPr upright="1"/>
                      </wps:wsp>
                      <wps:wsp>
                        <wps:cNvPr id="133" name="直线 241"/>
                        <wps:cNvCnPr/>
                        <wps:spPr>
                          <a:xfrm>
                            <a:off x="2340" y="4092"/>
                            <a:ext cx="7200" cy="0"/>
                          </a:xfrm>
                          <a:prstGeom prst="line">
                            <a:avLst/>
                          </a:prstGeom>
                          <a:ln w="9525" cap="flat" cmpd="sng">
                            <a:solidFill>
                              <a:srgbClr val="000000"/>
                            </a:solidFill>
                            <a:prstDash val="solid"/>
                            <a:headEnd type="none" w="med" len="med"/>
                            <a:tailEnd type="none" w="med" len="med"/>
                          </a:ln>
                        </wps:spPr>
                        <wps:bodyPr upright="1"/>
                      </wps:wsp>
                      <wps:wsp>
                        <wps:cNvPr id="134" name="直线 242"/>
                        <wps:cNvCnPr/>
                        <wps:spPr>
                          <a:xfrm>
                            <a:off x="2340" y="3468"/>
                            <a:ext cx="0" cy="624"/>
                          </a:xfrm>
                          <a:prstGeom prst="line">
                            <a:avLst/>
                          </a:prstGeom>
                          <a:ln w="9525" cap="flat" cmpd="sng">
                            <a:solidFill>
                              <a:srgbClr val="000000"/>
                            </a:solidFill>
                            <a:prstDash val="solid"/>
                            <a:headEnd type="none" w="med" len="med"/>
                            <a:tailEnd type="triangle" w="med" len="med"/>
                          </a:ln>
                        </wps:spPr>
                        <wps:bodyPr upright="1"/>
                      </wps:wsp>
                      <wps:wsp>
                        <wps:cNvPr id="135" name="直线 243"/>
                        <wps:cNvCnPr/>
                        <wps:spPr>
                          <a:xfrm>
                            <a:off x="4860" y="3468"/>
                            <a:ext cx="0" cy="624"/>
                          </a:xfrm>
                          <a:prstGeom prst="line">
                            <a:avLst/>
                          </a:prstGeom>
                          <a:ln w="9525" cap="flat" cmpd="sng">
                            <a:solidFill>
                              <a:srgbClr val="000000"/>
                            </a:solidFill>
                            <a:prstDash val="solid"/>
                            <a:headEnd type="none" w="med" len="med"/>
                            <a:tailEnd type="triangle" w="med" len="med"/>
                          </a:ln>
                        </wps:spPr>
                        <wps:bodyPr upright="1"/>
                      </wps:wsp>
                      <wps:wsp>
                        <wps:cNvPr id="136" name="直线 244"/>
                        <wps:cNvCnPr/>
                        <wps:spPr>
                          <a:xfrm>
                            <a:off x="7200" y="3468"/>
                            <a:ext cx="0" cy="624"/>
                          </a:xfrm>
                          <a:prstGeom prst="line">
                            <a:avLst/>
                          </a:prstGeom>
                          <a:ln w="9525" cap="flat" cmpd="sng">
                            <a:solidFill>
                              <a:srgbClr val="000000"/>
                            </a:solidFill>
                            <a:prstDash val="solid"/>
                            <a:headEnd type="none" w="med" len="med"/>
                            <a:tailEnd type="triangle" w="med" len="med"/>
                          </a:ln>
                        </wps:spPr>
                        <wps:bodyPr upright="1"/>
                      </wps:wsp>
                      <wps:wsp>
                        <wps:cNvPr id="137" name="直线 245"/>
                        <wps:cNvCnPr/>
                        <wps:spPr>
                          <a:xfrm>
                            <a:off x="9540" y="3468"/>
                            <a:ext cx="0" cy="624"/>
                          </a:xfrm>
                          <a:prstGeom prst="line">
                            <a:avLst/>
                          </a:prstGeom>
                          <a:ln w="9525" cap="flat" cmpd="sng">
                            <a:solidFill>
                              <a:srgbClr val="000000"/>
                            </a:solidFill>
                            <a:prstDash val="solid"/>
                            <a:headEnd type="none" w="med" len="med"/>
                            <a:tailEnd type="triangle" w="med" len="med"/>
                          </a:ln>
                        </wps:spPr>
                        <wps:bodyPr upright="1"/>
                      </wps:wsp>
                    </wpg:wgp>
                  </a:graphicData>
                </a:graphic>
              </wp:anchor>
            </w:drawing>
          </mc:Choice>
          <mc:Fallback>
            <w:pict>
              <v:group id="组合 223" o:spid="_x0000_s1026" o:spt="203" style="position:absolute;left:0pt;margin-left:9pt;margin-top:91pt;height:240.5pt;width:400.05pt;mso-wrap-distance-bottom:0pt;mso-wrap-distance-top:0pt;z-index:251667456;mso-width-relative:page;mso-height-relative:page;" coordorigin="1440,1596" coordsize="9000,5928" o:gfxdata="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">
                <o:lock v:ext="edit" aspectratio="f"/>
                <v:rect id="矩形 224" o:spid="_x0000_s1026" o:spt="1" style="position:absolute;left:4860;top:1596;height:468;width:2160;" fillcolor="#FFFFFF" filled="t" stroked="t" coordsize="21600,21600" o:gfxdata="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jdMt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预验收申请表</w:t>
                        </w:r>
                      </w:p>
                    </w:txbxContent>
                  </v:textbox>
                </v:rect>
                <v:rect id="矩形 225" o:spid="_x0000_s1026" o:spt="1" style="position:absolute;left:1440;top:3000;height:468;width:2160;" fillcolor="#FFFFFF" filled="t" stroked="t" coordsize="21600,21600" o:gfxdata="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F2t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kern w:val="0"/>
                            <w:sz w:val="21"/>
                            <w:szCs w:val="21"/>
                          </w:rPr>
                          <w:t>工程预验收报</w:t>
                        </w:r>
                        <w:r>
                          <w:rPr>
                            <w:rFonts w:hint="eastAsia" w:eastAsia="仿宋_GB2312"/>
                            <w:color w:val="000000"/>
                            <w:sz w:val="21"/>
                            <w:szCs w:val="21"/>
                          </w:rPr>
                          <w:t>告</w:t>
                        </w:r>
                      </w:p>
                    </w:txbxContent>
                  </v:textbox>
                </v:rect>
                <v:rect id="矩形 226" o:spid="_x0000_s1026" o:spt="1" style="position:absolute;left:3780;top:3000;height:468;width:1800;" fillcolor="#FFFFFF" filled="t" stroked="t" coordsize="21600,21600" o:gfxdata="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7ix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工程图纸资料告</w:t>
                        </w:r>
                      </w:p>
                    </w:txbxContent>
                  </v:textbox>
                </v:rect>
                <v:rect id="矩形 227" o:spid="_x0000_s1026" o:spt="1" style="position:absolute;left:5940;top:3000;height:468;width:2520;" fillcolor="#FFFFFF" filled="t" stroked="t" coordsize="21600,21600" o:gfxdata="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SR1+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各系统设备操作手册</w:t>
                        </w:r>
                      </w:p>
                    </w:txbxContent>
                  </v:textbox>
                </v:rect>
                <v:rect id="矩形 228" o:spid="_x0000_s1026" o:spt="1" style="position:absolute;left:8640;top:3000;height:468;width:1800;" fillcolor="#FFFFFF" filled="t" stroked="t" coordsize="21600,21600" o:gfxdata="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0Qkf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系统测试记录</w:t>
                        </w:r>
                      </w:p>
                    </w:txbxContent>
                  </v:textbox>
                </v:rect>
                <v:rect id="矩形 229" o:spid="_x0000_s1026" o:spt="1" style="position:absolute;left:4140;top:4872;height:468;width:3780;" fillcolor="#FFFFFF" filled="t" stroked="t" coordsize="21600,21600" o:gfxdata="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AiB5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公司相关部门审查预验收资料</w:t>
                        </w:r>
                      </w:p>
                    </w:txbxContent>
                  </v:textbox>
                </v:rect>
                <v:rect id="矩形 230" o:spid="_x0000_s1026" o:spt="1" style="position:absolute;left:4500;top:5964;height:468;width:3060;" fillcolor="#FFFFFF" filled="t" stroked="t" coordsize="21600,21600" o:gfxdata="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TaH5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资料审查通过同意预验收</w:t>
                        </w:r>
                      </w:p>
                    </w:txbxContent>
                  </v:textbox>
                </v:rect>
                <v:rect id="矩形 231" o:spid="_x0000_s1026" o:spt="1" style="position:absolute;left:4860;top:7056;height:468;width:2160;" fillcolor="#FFFFFF" filled="t" stroked="t" coordsize="21600,21600" o:gfxdata="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lroI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eastAsia="仿宋_GB2312"/>
                            <w:color w:val="000000"/>
                            <w:sz w:val="21"/>
                            <w:szCs w:val="21"/>
                          </w:rPr>
                        </w:pPr>
                        <w:r>
                          <w:rPr>
                            <w:rFonts w:hint="eastAsia" w:eastAsia="仿宋_GB2312"/>
                            <w:color w:val="000000"/>
                            <w:sz w:val="21"/>
                            <w:szCs w:val="21"/>
                          </w:rPr>
                          <w:t>系统进行预验收</w:t>
                        </w:r>
                      </w:p>
                    </w:txbxContent>
                  </v:textbox>
                </v:rect>
                <v:line id="直线 232" o:spid="_x0000_s1026" o:spt="20" style="position:absolute;left:5940;top:6432;height:624;width:0;" filled="f" stroked="t" coordsize="21600,21600" o:gfxdata="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jOk1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33" o:spid="_x0000_s1026" o:spt="20" style="position:absolute;left:5940;top:5340;height:624;width:0;" filled="f" stroked="t" coordsize="21600,21600" o:gfxdata="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8BTr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34" o:spid="_x0000_s1026" o:spt="20" style="position:absolute;left:5940;top:4092;height:780;width:0;" filled="f" stroked="t" coordsize="21600,21600" o:gfxdata="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2tnz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235" o:spid="_x0000_s1026" o:spt="20" style="position:absolute;left:2340;top:2376;height:0;width:7200;" filled="f" stroked="t" coordsize="21600,21600" o:gfxdata="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KFdM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236" o:spid="_x0000_s1026" o:spt="20" style="position:absolute;left:2340;top:2376;height:624;width:0;" filled="f" stroked="t" coordsize="21600,21600" o:gfxdata="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fq7Q&#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237" o:spid="_x0000_s1026" o:spt="20" style="position:absolute;left:4860;top:2376;height:624;width:0;" filled="f" stroked="t" coordsize="21600,21600" o:gfxdata="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DILS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38" o:spid="_x0000_s1026" o:spt="20" style="position:absolute;left:7200;top:2376;height:624;width:0;" filled="f" stroked="t" coordsize="21600,21600" o:gfxdata="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0TQL&#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239" o:spid="_x0000_s1026" o:spt="20" style="position:absolute;left:9540;top:2376;height:624;width:0;" filled="f" stroked="t" coordsize="21600,21600" o:gfxdata="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ZGQ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40" o:spid="_x0000_s1026" o:spt="20" style="position:absolute;left:5940;top:2064;height:312;width:0;" filled="f" stroked="t" coordsize="21600,21600" o:gfxdata="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08P5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41" o:spid="_x0000_s1026" o:spt="20" style="position:absolute;left:2340;top:4092;height:0;width:7200;" filled="f" stroked="t" coordsize="21600,21600" o:gfxdata="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kPN7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242" o:spid="_x0000_s1026" o:spt="20" style="position:absolute;left:2340;top:3468;height:624;width:0;" filled="f" stroked="t" coordsize="21600,21600" o:gfxdata="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6jII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43" o:spid="_x0000_s1026" o:spt="20" style="position:absolute;left:4860;top:3468;height:624;width:0;" filled="f" stroked="t" coordsize="21600,21600" o:gfxdata="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ppeT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44" o:spid="_x0000_s1026" o:spt="20" style="position:absolute;left:7200;top:3468;height:624;width:0;" filled="f" stroked="t" coordsize="21600,21600" o:gfxdata="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dAnk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245" o:spid="_x0000_s1026" o:spt="20" style="position:absolute;left:9540;top:3468;height:624;width:0;" filled="f" stroked="t" coordsize="21600,21600" o:gfxdata="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OK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w10:wrap type="topAndBottom"/>
              </v:group>
            </w:pict>
          </mc:Fallback>
        </mc:AlternateContent>
      </w:r>
      <w:r>
        <w:rPr>
          <w:rFonts w:ascii="宋体" w:hAnsi="宋体" w:cs="Arial"/>
          <w:color w:val="000000"/>
          <w:sz w:val="24"/>
        </w:rPr>
        <w:t>根据公司的施工管理规程，在系统调试完成后，应编制系统调试报告及预验收审请上报公司工程部，经工程部会同质检部、技术部等部门对项目进行系统的预验收工作。验收流程图如下：</w:t>
      </w:r>
    </w:p>
    <w:p>
      <w:pPr>
        <w:spacing w:line="360" w:lineRule="auto"/>
        <w:ind w:left="0" w:leftChars="0" w:firstLine="0" w:firstLineChars="0"/>
        <w:rPr>
          <w:rFonts w:hint="eastAsia" w:ascii="宋体" w:hAnsi="宋体" w:cs="Arial"/>
          <w:bCs/>
          <w:color w:val="000000"/>
          <w:sz w:val="24"/>
        </w:rPr>
      </w:pPr>
    </w:p>
    <w:p>
      <w:pPr>
        <w:pStyle w:val="3"/>
        <w:numPr>
          <w:ilvl w:val="1"/>
          <w:numId w:val="2"/>
        </w:numPr>
        <w:rPr>
          <w:rFonts w:hint="eastAsia" w:ascii="宋体" w:hAnsi="宋体" w:eastAsia="宋体" w:cs="Arial"/>
          <w:bCs w:val="0"/>
          <w:color w:val="000000"/>
          <w:sz w:val="30"/>
          <w:szCs w:val="30"/>
        </w:rPr>
      </w:pPr>
      <w:bookmarkStart w:id="465" w:name="_Toc28884"/>
      <w:bookmarkStart w:id="466" w:name="_Toc93674468"/>
      <w:bookmarkStart w:id="467" w:name="_Toc11197"/>
      <w:bookmarkStart w:id="468" w:name="_Toc28926"/>
      <w:bookmarkStart w:id="469" w:name="_Toc21779"/>
      <w:bookmarkStart w:id="470" w:name="_Toc5844"/>
      <w:r>
        <w:rPr>
          <w:rFonts w:ascii="宋体" w:hAnsi="宋体" w:eastAsia="宋体" w:cs="Arial"/>
          <w:bCs w:val="0"/>
          <w:color w:val="000000"/>
          <w:sz w:val="30"/>
          <w:szCs w:val="30"/>
        </w:rPr>
        <w:t>系统试运行</w:t>
      </w:r>
      <w:bookmarkEnd w:id="465"/>
      <w:bookmarkEnd w:id="466"/>
      <w:bookmarkEnd w:id="467"/>
      <w:bookmarkEnd w:id="468"/>
      <w:bookmarkEnd w:id="469"/>
      <w:bookmarkEnd w:id="470"/>
    </w:p>
    <w:p>
      <w:pPr>
        <w:spacing w:line="360" w:lineRule="auto"/>
        <w:ind w:firstLine="480" w:firstLineChars="200"/>
        <w:rPr>
          <w:rFonts w:hint="eastAsia" w:ascii="宋体" w:hAnsi="宋体" w:cs="Arial"/>
          <w:sz w:val="24"/>
        </w:rPr>
      </w:pPr>
      <w:r>
        <w:rPr>
          <w:rFonts w:ascii="宋体" w:hAnsi="宋体" w:cs="Arial"/>
          <w:color w:val="000000"/>
          <w:sz w:val="24"/>
        </w:rPr>
        <w:t>系统调试完毕后，即进入系统试运行阶段，这一阶段既为系统正式投入运行做好准备，又要在试运行条件下考察系统及设备的各项功能的技术指标是否达到设计要求。试运行过程中的各种资料也是项目系统验收的重要依据。在这一阶段可请甲方安排相关人员参与。</w:t>
      </w:r>
    </w:p>
    <w:p>
      <w:pPr>
        <w:pStyle w:val="4"/>
        <w:numPr>
          <w:ilvl w:val="1"/>
          <w:numId w:val="117"/>
        </w:numPr>
        <w:rPr>
          <w:rFonts w:hint="eastAsia" w:ascii="宋体" w:hAnsi="宋体"/>
          <w:sz w:val="24"/>
          <w:szCs w:val="24"/>
        </w:rPr>
      </w:pPr>
      <w:bookmarkStart w:id="471" w:name="_Toc20604"/>
      <w:bookmarkStart w:id="472" w:name="_Toc27849"/>
      <w:bookmarkStart w:id="473" w:name="_Toc19901"/>
      <w:bookmarkStart w:id="474" w:name="_Toc22217"/>
      <w:bookmarkStart w:id="475" w:name="_Toc23168"/>
      <w:r>
        <w:rPr>
          <w:rFonts w:cs="Arial"/>
          <w:bCs w:val="0"/>
          <w:color w:val="000000"/>
          <w:sz w:val="24"/>
          <w:szCs w:val="24"/>
        </w:rPr>
        <w:t>项目试运行实施</w:t>
      </w:r>
      <w:bookmarkEnd w:id="471"/>
      <w:bookmarkEnd w:id="472"/>
      <w:bookmarkEnd w:id="473"/>
      <w:bookmarkEnd w:id="474"/>
      <w:bookmarkEnd w:id="475"/>
    </w:p>
    <w:p>
      <w:pPr>
        <w:spacing w:line="360" w:lineRule="auto"/>
        <w:rPr>
          <w:rFonts w:ascii="宋体" w:hAnsi="宋体" w:cs="Arial"/>
          <w:color w:val="000000"/>
          <w:sz w:val="24"/>
        </w:rPr>
      </w:pPr>
      <w:r>
        <w:rPr>
          <w:rFonts w:ascii="宋体" w:hAnsi="宋体" w:cs="Arial"/>
          <w:color w:val="000000"/>
          <w:sz w:val="24"/>
        </w:rPr>
        <w:t>项目试运行阶段要做好试运行阶段的运行记录工作。主要工作包括：</w:t>
      </w:r>
    </w:p>
    <w:p>
      <w:pPr>
        <w:numPr>
          <w:ilvl w:val="0"/>
          <w:numId w:val="118"/>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按照操作程序使用系统</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系统试运行时，操作人员必须严格按系统使用手册、执行操作规章制度，避免出现危害工程质量和安全的操作事故。</w:t>
      </w:r>
    </w:p>
    <w:p>
      <w:pPr>
        <w:numPr>
          <w:ilvl w:val="0"/>
          <w:numId w:val="118"/>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试运行过程的服务</w:t>
      </w:r>
    </w:p>
    <w:p>
      <w:pPr>
        <w:pStyle w:val="12"/>
        <w:tabs>
          <w:tab w:val="left" w:pos="1260"/>
        </w:tabs>
        <w:spacing w:line="360" w:lineRule="auto"/>
        <w:ind w:left="680" w:leftChars="200" w:firstLine="480" w:firstLineChars="200"/>
        <w:rPr>
          <w:rFonts w:hint="eastAsia" w:ascii="宋体" w:hAnsi="宋体" w:cs="Arial"/>
          <w:sz w:val="24"/>
        </w:rPr>
      </w:pPr>
      <w:r>
        <w:rPr>
          <w:rFonts w:ascii="宋体" w:hAnsi="宋体" w:cs="Arial"/>
          <w:sz w:val="24"/>
        </w:rPr>
        <w:t>提供足够的技术支持包括对甲方的相关部门技术人员的帮带、系统运行和操作的监督、紧急故障的抢修。若在正常运行条件下产生属于施工质量的问题，必须尽快进行修复。</w:t>
      </w:r>
    </w:p>
    <w:p>
      <w:pPr>
        <w:pStyle w:val="4"/>
        <w:numPr>
          <w:ilvl w:val="1"/>
          <w:numId w:val="117"/>
        </w:numPr>
        <w:rPr>
          <w:rFonts w:hint="eastAsia" w:cs="Arial"/>
          <w:bCs w:val="0"/>
          <w:color w:val="000000"/>
          <w:sz w:val="24"/>
          <w:szCs w:val="24"/>
        </w:rPr>
      </w:pPr>
      <w:bookmarkStart w:id="476" w:name="_Toc3509"/>
      <w:bookmarkStart w:id="477" w:name="_Toc29663"/>
      <w:bookmarkStart w:id="478" w:name="_Toc1600"/>
      <w:bookmarkStart w:id="479" w:name="_Toc23503"/>
      <w:bookmarkStart w:id="480" w:name="_Toc8708"/>
      <w:r>
        <w:rPr>
          <w:rFonts w:cs="Arial"/>
          <w:bCs w:val="0"/>
          <w:color w:val="000000"/>
          <w:sz w:val="24"/>
          <w:szCs w:val="24"/>
        </w:rPr>
        <w:t>施工缺陷的修复</w:t>
      </w:r>
      <w:bookmarkEnd w:id="476"/>
      <w:bookmarkEnd w:id="477"/>
      <w:bookmarkEnd w:id="478"/>
      <w:bookmarkEnd w:id="479"/>
      <w:bookmarkEnd w:id="480"/>
    </w:p>
    <w:p>
      <w:pPr>
        <w:pStyle w:val="12"/>
        <w:spacing w:line="360" w:lineRule="auto"/>
        <w:ind w:left="0" w:leftChars="0" w:firstLine="480" w:firstLineChars="200"/>
        <w:rPr>
          <w:rFonts w:ascii="宋体" w:hAnsi="宋体" w:cs="Arial"/>
          <w:sz w:val="24"/>
        </w:rPr>
      </w:pPr>
      <w:r>
        <w:rPr>
          <w:rFonts w:ascii="宋体" w:hAnsi="宋体" w:cs="Arial"/>
          <w:sz w:val="24"/>
        </w:rPr>
        <w:t>工程出现质量缺陷时，须按国家颁布的工程保修制度和施工合同规定程序进行返修工作。</w:t>
      </w:r>
    </w:p>
    <w:p>
      <w:pPr>
        <w:numPr>
          <w:ilvl w:val="0"/>
          <w:numId w:val="119"/>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试运行中施工人员发现问题</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试运行过程中施工人员发现工程缺陷及产品配合等方面存在的问题，提出故障报告，确定检修方案。修复后记录归档。</w:t>
      </w:r>
    </w:p>
    <w:p>
      <w:pPr>
        <w:numPr>
          <w:ilvl w:val="0"/>
          <w:numId w:val="119"/>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甲方通知返修</w:t>
      </w:r>
    </w:p>
    <w:p>
      <w:pPr>
        <w:pStyle w:val="12"/>
        <w:tabs>
          <w:tab w:val="left" w:pos="1260"/>
        </w:tabs>
        <w:spacing w:line="360" w:lineRule="auto"/>
        <w:ind w:left="680" w:leftChars="200" w:firstLine="480" w:firstLineChars="200"/>
        <w:rPr>
          <w:rFonts w:ascii="宋体" w:hAnsi="宋体" w:cs="Arial"/>
          <w:sz w:val="24"/>
        </w:rPr>
      </w:pPr>
      <w:r>
        <w:rPr>
          <w:rFonts w:ascii="宋体" w:hAnsi="宋体" w:cs="Arial"/>
          <w:sz w:val="24"/>
        </w:rPr>
        <w:t>试运行条件下发现质量缺陷时，由甲方发出书面通知，说明发现质量问题的工作工程部位的情况，便于及时派人检查修复。</w:t>
      </w:r>
    </w:p>
    <w:p>
      <w:pPr>
        <w:numPr>
          <w:ilvl w:val="0"/>
          <w:numId w:val="119"/>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工程返修实施</w:t>
      </w:r>
    </w:p>
    <w:p>
      <w:pPr>
        <w:spacing w:line="360" w:lineRule="auto"/>
        <w:ind w:left="1455" w:leftChars="428" w:firstLine="480" w:firstLineChars="200"/>
        <w:rPr>
          <w:rFonts w:hint="eastAsia" w:ascii="宋体" w:hAnsi="宋体" w:cs="Arial"/>
          <w:color w:val="000000"/>
          <w:sz w:val="24"/>
        </w:rPr>
      </w:pPr>
      <w:r>
        <w:rPr>
          <w:rFonts w:ascii="宋体" w:hAnsi="宋体" w:cs="Arial"/>
          <w:color w:val="000000"/>
          <w:sz w:val="24"/>
        </w:rPr>
        <w:t>与甲方共同查找质量缺陷的原因，确定修复方案；修复时甲方给予必要的方便条件，包括部分或全部停止试运行；返修项目质量以国家规范、规程、标准和原设计要求为准。</w:t>
      </w:r>
    </w:p>
    <w:p>
      <w:pPr>
        <w:pStyle w:val="3"/>
        <w:numPr>
          <w:ilvl w:val="1"/>
          <w:numId w:val="2"/>
        </w:numPr>
        <w:rPr>
          <w:rFonts w:hint="eastAsia" w:ascii="宋体" w:hAnsi="宋体" w:eastAsia="宋体" w:cs="Arial"/>
          <w:bCs w:val="0"/>
          <w:color w:val="000000"/>
          <w:sz w:val="30"/>
          <w:szCs w:val="30"/>
        </w:rPr>
      </w:pPr>
      <w:bookmarkStart w:id="481" w:name="_Toc803"/>
      <w:bookmarkStart w:id="482" w:name="_Toc3520"/>
      <w:bookmarkStart w:id="483" w:name="_Toc29164"/>
      <w:bookmarkStart w:id="484" w:name="_Toc23573"/>
      <w:bookmarkStart w:id="485" w:name="_Toc93674469"/>
      <w:bookmarkStart w:id="486" w:name="_Toc596"/>
      <w:r>
        <w:rPr>
          <w:rFonts w:ascii="宋体" w:hAnsi="宋体" w:eastAsia="宋体" w:cs="Arial"/>
          <w:bCs w:val="0"/>
          <w:color w:val="000000"/>
          <w:sz w:val="30"/>
          <w:szCs w:val="30"/>
        </w:rPr>
        <w:t>系统竣工验收</w:t>
      </w:r>
      <w:bookmarkEnd w:id="481"/>
      <w:bookmarkEnd w:id="482"/>
      <w:bookmarkEnd w:id="483"/>
      <w:bookmarkEnd w:id="484"/>
      <w:bookmarkEnd w:id="485"/>
      <w:bookmarkEnd w:id="486"/>
    </w:p>
    <w:p>
      <w:pPr>
        <w:spacing w:line="360" w:lineRule="auto"/>
        <w:ind w:firstLine="480" w:firstLineChars="200"/>
        <w:rPr>
          <w:rFonts w:hint="eastAsia" w:ascii="宋体" w:hAnsi="宋体" w:cs="Arial"/>
          <w:color w:val="000000"/>
          <w:sz w:val="24"/>
        </w:rPr>
      </w:pPr>
      <w:r>
        <w:rPr>
          <w:rFonts w:ascii="宋体" w:hAnsi="宋体" w:cs="Arial"/>
          <w:color w:val="000000"/>
          <w:sz w:val="24"/>
        </w:rPr>
        <w:t>系统竣工验收分为单项工程验收和全部工程验收两个阶段。具体流程见附件：“竣工验收流程图”。我公司将严格按照国家、行业有关验收规范进行验收。同时我公司将参加由甲方技术负责人组织监理单位的有关专业的技术、质量负责人共同组成的质量检测小组，对工程的验收质量实行层层把关。确保工程质量。</w:t>
      </w:r>
    </w:p>
    <w:p>
      <w:pPr>
        <w:spacing w:line="360" w:lineRule="auto"/>
        <w:jc w:val="center"/>
        <w:rPr>
          <w:rFonts w:hint="eastAsia" w:ascii="宋体" w:hAnsi="宋体" w:cs="Arial"/>
          <w:color w:val="000000"/>
          <w:sz w:val="24"/>
        </w:rPr>
      </w:pPr>
      <w:r>
        <w:rPr>
          <w:rFonts w:hint="eastAsia" w:ascii="宋体" w:hAnsi="宋体" w:cs="Arial"/>
          <w:color w:val="000000"/>
          <w:sz w:val="24"/>
        </w:rPr>
        <mc:AlternateContent>
          <mc:Choice Requires="wpg">
            <w:drawing>
              <wp:anchor distT="0" distB="0" distL="114300" distR="114300" simplePos="0" relativeHeight="251668480" behindDoc="0" locked="0" layoutInCell="1" allowOverlap="1">
                <wp:simplePos x="0" y="0"/>
                <wp:positionH relativeFrom="column">
                  <wp:posOffset>571500</wp:posOffset>
                </wp:positionH>
                <wp:positionV relativeFrom="paragraph">
                  <wp:posOffset>429260</wp:posOffset>
                </wp:positionV>
                <wp:extent cx="4457700" cy="4655820"/>
                <wp:effectExtent l="4445" t="4445" r="8255" b="13335"/>
                <wp:wrapTopAndBottom/>
                <wp:docPr id="257" name="组合 278"/>
                <wp:cNvGraphicFramePr/>
                <a:graphic xmlns:a="http://schemas.openxmlformats.org/drawingml/2006/main">
                  <a:graphicData uri="http://schemas.microsoft.com/office/word/2010/wordprocessingGroup">
                    <wpg:wgp>
                      <wpg:cNvGrpSpPr/>
                      <wpg:grpSpPr>
                        <a:xfrm>
                          <a:off x="0" y="0"/>
                          <a:ext cx="4457700" cy="4655820"/>
                          <a:chOff x="2318" y="7056"/>
                          <a:chExt cx="7020" cy="7332"/>
                        </a:xfrm>
                      </wpg:grpSpPr>
                      <wps:wsp>
                        <wps:cNvPr id="139" name="矩形 247"/>
                        <wps:cNvSpPr/>
                        <wps:spPr>
                          <a:xfrm>
                            <a:off x="2318" y="7056"/>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 xml:space="preserve">系统桥架、管线验收                                                      </w:t>
                              </w:r>
                            </w:p>
                          </w:txbxContent>
                        </wps:txbx>
                        <wps:bodyPr wrap="square" upright="1"/>
                      </wps:wsp>
                      <wps:wsp>
                        <wps:cNvPr id="140" name="矩形 248"/>
                        <wps:cNvSpPr/>
                        <wps:spPr>
                          <a:xfrm>
                            <a:off x="2318" y="8304"/>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单体设备验收</w:t>
                              </w:r>
                            </w:p>
                          </w:txbxContent>
                        </wps:txbx>
                        <wps:bodyPr wrap="square" upright="1"/>
                      </wps:wsp>
                      <wps:wsp>
                        <wps:cNvPr id="141" name="矩形 249"/>
                        <wps:cNvSpPr/>
                        <wps:spPr>
                          <a:xfrm>
                            <a:off x="2318" y="9708"/>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子系统功能验收</w:t>
                              </w:r>
                            </w:p>
                          </w:txbxContent>
                        </wps:txbx>
                        <wps:bodyPr wrap="square" upright="1"/>
                      </wps:wsp>
                      <wps:wsp>
                        <wps:cNvPr id="142" name="矩形 250"/>
                        <wps:cNvSpPr/>
                        <wps:spPr>
                          <a:xfrm>
                            <a:off x="2318" y="11112"/>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系统联运（集成）验收</w:t>
                              </w:r>
                            </w:p>
                          </w:txbxContent>
                        </wps:txbx>
                        <wps:bodyPr wrap="square" upright="1"/>
                      </wps:wsp>
                      <wps:wsp>
                        <wps:cNvPr id="143" name="直线 251"/>
                        <wps:cNvCnPr/>
                        <wps:spPr>
                          <a:xfrm>
                            <a:off x="3758" y="7524"/>
                            <a:ext cx="0" cy="780"/>
                          </a:xfrm>
                          <a:prstGeom prst="line">
                            <a:avLst/>
                          </a:prstGeom>
                          <a:ln w="9525" cap="rnd" cmpd="sng">
                            <a:solidFill>
                              <a:srgbClr val="000000"/>
                            </a:solidFill>
                            <a:prstDash val="sysDot"/>
                            <a:headEnd type="none" w="med" len="med"/>
                            <a:tailEnd type="triangle" w="med" len="med"/>
                          </a:ln>
                        </wps:spPr>
                        <wps:bodyPr upright="1"/>
                      </wps:wsp>
                      <wps:wsp>
                        <wps:cNvPr id="144" name="直线 252"/>
                        <wps:cNvCnPr/>
                        <wps:spPr>
                          <a:xfrm>
                            <a:off x="3758" y="8772"/>
                            <a:ext cx="0" cy="936"/>
                          </a:xfrm>
                          <a:prstGeom prst="line">
                            <a:avLst/>
                          </a:prstGeom>
                          <a:ln w="9525" cap="rnd" cmpd="sng">
                            <a:solidFill>
                              <a:srgbClr val="000000"/>
                            </a:solidFill>
                            <a:prstDash val="sysDot"/>
                            <a:headEnd type="none" w="med" len="med"/>
                            <a:tailEnd type="triangle" w="med" len="med"/>
                          </a:ln>
                        </wps:spPr>
                        <wps:bodyPr upright="1"/>
                      </wps:wsp>
                      <wps:wsp>
                        <wps:cNvPr id="145" name="直线 253"/>
                        <wps:cNvCnPr/>
                        <wps:spPr>
                          <a:xfrm>
                            <a:off x="3758" y="10176"/>
                            <a:ext cx="0" cy="936"/>
                          </a:xfrm>
                          <a:prstGeom prst="line">
                            <a:avLst/>
                          </a:prstGeom>
                          <a:ln w="9525" cap="rnd" cmpd="sng">
                            <a:solidFill>
                              <a:srgbClr val="000000"/>
                            </a:solidFill>
                            <a:prstDash val="sysDot"/>
                            <a:headEnd type="none" w="med" len="med"/>
                            <a:tailEnd type="triangle" w="med" len="med"/>
                          </a:ln>
                        </wps:spPr>
                        <wps:bodyPr upright="1"/>
                      </wps:wsp>
                      <wps:wsp>
                        <wps:cNvPr id="146" name="直线 254"/>
                        <wps:cNvCnPr/>
                        <wps:spPr>
                          <a:xfrm flipH="1" flipV="1">
                            <a:off x="5198" y="7368"/>
                            <a:ext cx="1260" cy="0"/>
                          </a:xfrm>
                          <a:prstGeom prst="line">
                            <a:avLst/>
                          </a:prstGeom>
                          <a:ln w="9525" cap="rnd" cmpd="sng">
                            <a:solidFill>
                              <a:srgbClr val="000000"/>
                            </a:solidFill>
                            <a:prstDash val="sysDot"/>
                            <a:headEnd type="none" w="med" len="med"/>
                            <a:tailEnd type="triangle" w="med" len="med"/>
                          </a:ln>
                        </wps:spPr>
                        <wps:bodyPr upright="1"/>
                      </wps:wsp>
                      <wps:wsp>
                        <wps:cNvPr id="147" name="直线 255"/>
                        <wps:cNvCnPr/>
                        <wps:spPr>
                          <a:xfrm flipH="1" flipV="1">
                            <a:off x="5198" y="8616"/>
                            <a:ext cx="1260" cy="0"/>
                          </a:xfrm>
                          <a:prstGeom prst="line">
                            <a:avLst/>
                          </a:prstGeom>
                          <a:ln w="9525" cap="rnd" cmpd="sng">
                            <a:solidFill>
                              <a:srgbClr val="000000"/>
                            </a:solidFill>
                            <a:prstDash val="sysDot"/>
                            <a:headEnd type="none" w="med" len="med"/>
                            <a:tailEnd type="triangle" w="med" len="med"/>
                          </a:ln>
                        </wps:spPr>
                        <wps:bodyPr upright="1"/>
                      </wps:wsp>
                      <wps:wsp>
                        <wps:cNvPr id="148" name="直线 256"/>
                        <wps:cNvCnPr/>
                        <wps:spPr>
                          <a:xfrm flipH="1" flipV="1">
                            <a:off x="5198" y="10020"/>
                            <a:ext cx="1260" cy="0"/>
                          </a:xfrm>
                          <a:prstGeom prst="line">
                            <a:avLst/>
                          </a:prstGeom>
                          <a:ln w="9525" cap="rnd" cmpd="sng">
                            <a:solidFill>
                              <a:srgbClr val="000000"/>
                            </a:solidFill>
                            <a:prstDash val="sysDot"/>
                            <a:headEnd type="none" w="med" len="med"/>
                            <a:tailEnd type="triangle" w="med" len="med"/>
                          </a:ln>
                        </wps:spPr>
                        <wps:bodyPr upright="1"/>
                      </wps:wsp>
                      <wps:wsp>
                        <wps:cNvPr id="149" name="直线 257"/>
                        <wps:cNvCnPr/>
                        <wps:spPr>
                          <a:xfrm flipH="1" flipV="1">
                            <a:off x="5198" y="11424"/>
                            <a:ext cx="1260" cy="0"/>
                          </a:xfrm>
                          <a:prstGeom prst="line">
                            <a:avLst/>
                          </a:prstGeom>
                          <a:ln w="9525" cap="rnd" cmpd="sng">
                            <a:solidFill>
                              <a:srgbClr val="000000"/>
                            </a:solidFill>
                            <a:prstDash val="sysDot"/>
                            <a:headEnd type="none" w="med" len="med"/>
                            <a:tailEnd type="triangle" w="med" len="med"/>
                          </a:ln>
                        </wps:spPr>
                        <wps:bodyPr upright="1"/>
                      </wps:wsp>
                      <wps:wsp>
                        <wps:cNvPr id="150" name="矩形 265"/>
                        <wps:cNvSpPr/>
                        <wps:spPr>
                          <a:xfrm>
                            <a:off x="6458" y="7056"/>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ascii="Arial" w:hAnsi="Arial" w:eastAsia="楷体_GB2312" w:cs="Arial"/>
                                  <w:color w:val="000000"/>
                                  <w:sz w:val="24"/>
                                </w:rPr>
                                <w:t>系统桥架、管线安装施工</w:t>
                              </w:r>
                              <w:r>
                                <w:rPr>
                                  <w:rFonts w:hint="eastAsia" w:eastAsia="仿宋_GB2312"/>
                                  <w:color w:val="000000"/>
                                  <w:sz w:val="24"/>
                                </w:rPr>
                                <w:t xml:space="preserve">                                                      </w:t>
                              </w:r>
                            </w:p>
                          </w:txbxContent>
                        </wps:txbx>
                        <wps:bodyPr wrap="square" upright="1"/>
                      </wps:wsp>
                      <wps:wsp>
                        <wps:cNvPr id="151" name="矩形 266"/>
                        <wps:cNvSpPr/>
                        <wps:spPr>
                          <a:xfrm>
                            <a:off x="6458" y="8304"/>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rPr>
                                  <w:rFonts w:hint="eastAsia"/>
                                </w:rPr>
                              </w:pPr>
                              <w:r>
                                <w:rPr>
                                  <w:rFonts w:ascii="Arial" w:hAnsi="Arial" w:eastAsia="楷体_GB2312" w:cs="Arial"/>
                                  <w:color w:val="000000"/>
                                  <w:sz w:val="24"/>
                                </w:rPr>
                                <w:t>系统设备安装施工</w:t>
                              </w:r>
                            </w:p>
                          </w:txbxContent>
                        </wps:txbx>
                        <wps:bodyPr wrap="square" upright="1"/>
                      </wps:wsp>
                      <wps:wsp>
                        <wps:cNvPr id="152" name="矩形 267"/>
                        <wps:cNvSpPr/>
                        <wps:spPr>
                          <a:xfrm>
                            <a:off x="6458" y="9708"/>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rPr>
                                  <w:rFonts w:hint="eastAsia"/>
                                </w:rPr>
                              </w:pPr>
                              <w:r>
                                <w:rPr>
                                  <w:rFonts w:ascii="Arial" w:hAnsi="Arial" w:eastAsia="楷体_GB2312" w:cs="Arial"/>
                                  <w:color w:val="000000"/>
                                  <w:sz w:val="24"/>
                                </w:rPr>
                                <w:t>子系统调试</w:t>
                              </w:r>
                            </w:p>
                          </w:txbxContent>
                        </wps:txbx>
                        <wps:bodyPr wrap="square" upright="1"/>
                      </wps:wsp>
                      <wps:wsp>
                        <wps:cNvPr id="153" name="矩形 268"/>
                        <wps:cNvSpPr/>
                        <wps:spPr>
                          <a:xfrm>
                            <a:off x="6458" y="11112"/>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rPr>
                                  <w:rFonts w:hint="eastAsia"/>
                                </w:rPr>
                              </w:pPr>
                              <w:r>
                                <w:rPr>
                                  <w:rFonts w:ascii="Arial" w:hAnsi="Arial" w:eastAsia="楷体_GB2312" w:cs="Arial"/>
                                  <w:color w:val="000000"/>
                                  <w:sz w:val="24"/>
                                </w:rPr>
                                <w:t>系统联动或系统集成调试</w:t>
                              </w:r>
                            </w:p>
                          </w:txbxContent>
                        </wps:txbx>
                        <wps:bodyPr wrap="square" upright="1"/>
                      </wps:wsp>
                      <wps:wsp>
                        <wps:cNvPr id="154" name="矩形 270"/>
                        <wps:cNvSpPr/>
                        <wps:spPr>
                          <a:xfrm>
                            <a:off x="2318" y="12516"/>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 xml:space="preserve">第三方测试验收                                                      </w:t>
                              </w:r>
                            </w:p>
                          </w:txbxContent>
                        </wps:txbx>
                        <wps:bodyPr wrap="square" upright="1"/>
                      </wps:wsp>
                      <wps:wsp>
                        <wps:cNvPr id="155" name="直线 271"/>
                        <wps:cNvCnPr/>
                        <wps:spPr>
                          <a:xfrm>
                            <a:off x="3758" y="11580"/>
                            <a:ext cx="0" cy="936"/>
                          </a:xfrm>
                          <a:prstGeom prst="line">
                            <a:avLst/>
                          </a:prstGeom>
                          <a:ln w="9525" cap="rnd" cmpd="sng">
                            <a:solidFill>
                              <a:srgbClr val="000000"/>
                            </a:solidFill>
                            <a:prstDash val="sysDot"/>
                            <a:headEnd type="none" w="med" len="med"/>
                            <a:tailEnd type="triangle" w="med" len="med"/>
                          </a:ln>
                        </wps:spPr>
                        <wps:bodyPr upright="1"/>
                      </wps:wsp>
                      <wps:wsp>
                        <wps:cNvPr id="156" name="直线 272"/>
                        <wps:cNvCnPr/>
                        <wps:spPr>
                          <a:xfrm>
                            <a:off x="3758" y="12984"/>
                            <a:ext cx="0" cy="936"/>
                          </a:xfrm>
                          <a:prstGeom prst="line">
                            <a:avLst/>
                          </a:prstGeom>
                          <a:ln w="9525" cap="rnd" cmpd="sng">
                            <a:solidFill>
                              <a:srgbClr val="000000"/>
                            </a:solidFill>
                            <a:prstDash val="sysDot"/>
                            <a:headEnd type="none" w="med" len="med"/>
                            <a:tailEnd type="triangle" w="med" len="med"/>
                          </a:ln>
                        </wps:spPr>
                        <wps:bodyPr upright="1"/>
                      </wps:wsp>
                      <wps:wsp>
                        <wps:cNvPr id="157" name="矩形 273"/>
                        <wps:cNvSpPr/>
                        <wps:spPr>
                          <a:xfrm>
                            <a:off x="2318" y="13920"/>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hint="eastAsia" w:eastAsia="仿宋_GB2312"/>
                                  <w:color w:val="000000"/>
                                  <w:sz w:val="24"/>
                                </w:rPr>
                                <w:t xml:space="preserve">系统竣工交付验收                                                      </w:t>
                              </w:r>
                            </w:p>
                          </w:txbxContent>
                        </wps:txbx>
                        <wps:bodyPr wrap="square" upright="1"/>
                      </wps:wsp>
                      <wps:wsp>
                        <wps:cNvPr id="158" name="直线 274"/>
                        <wps:cNvCnPr/>
                        <wps:spPr>
                          <a:xfrm flipH="1">
                            <a:off x="5198" y="14076"/>
                            <a:ext cx="1260" cy="0"/>
                          </a:xfrm>
                          <a:prstGeom prst="line">
                            <a:avLst/>
                          </a:prstGeom>
                          <a:ln w="9525" cap="rnd" cmpd="sng">
                            <a:solidFill>
                              <a:srgbClr val="000000"/>
                            </a:solidFill>
                            <a:prstDash val="sysDot"/>
                            <a:headEnd type="none" w="med" len="med"/>
                            <a:tailEnd type="triangle" w="med" len="med"/>
                          </a:ln>
                        </wps:spPr>
                        <wps:bodyPr upright="1"/>
                      </wps:wsp>
                      <wps:wsp>
                        <wps:cNvPr id="159" name="直线 275"/>
                        <wps:cNvCnPr/>
                        <wps:spPr>
                          <a:xfrm flipH="1">
                            <a:off x="5198" y="12672"/>
                            <a:ext cx="1260" cy="0"/>
                          </a:xfrm>
                          <a:prstGeom prst="line">
                            <a:avLst/>
                          </a:prstGeom>
                          <a:ln w="9525" cap="rnd" cmpd="sng">
                            <a:solidFill>
                              <a:srgbClr val="000000"/>
                            </a:solidFill>
                            <a:prstDash val="sysDot"/>
                            <a:headEnd type="none" w="med" len="med"/>
                            <a:tailEnd type="triangle" w="med" len="med"/>
                          </a:ln>
                        </wps:spPr>
                        <wps:bodyPr upright="1"/>
                      </wps:wsp>
                      <wps:wsp>
                        <wps:cNvPr id="160" name="矩形 276"/>
                        <wps:cNvSpPr/>
                        <wps:spPr>
                          <a:xfrm>
                            <a:off x="6458" y="12516"/>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ascii="Arial" w:hAnsi="Arial" w:eastAsia="楷体_GB2312" w:cs="Arial"/>
                                  <w:color w:val="000000"/>
                                  <w:sz w:val="24"/>
                                </w:rPr>
                                <w:t>系统试运行结束</w:t>
                              </w:r>
                              <w:r>
                                <w:rPr>
                                  <w:rFonts w:hint="eastAsia" w:eastAsia="仿宋_GB2312"/>
                                  <w:color w:val="000000"/>
                                  <w:sz w:val="24"/>
                                </w:rPr>
                                <w:t xml:space="preserve">                                                      </w:t>
                              </w:r>
                            </w:p>
                          </w:txbxContent>
                        </wps:txbx>
                        <wps:bodyPr wrap="square" upright="1"/>
                      </wps:wsp>
                      <wps:wsp>
                        <wps:cNvPr id="161" name="矩形 277"/>
                        <wps:cNvSpPr/>
                        <wps:spPr>
                          <a:xfrm>
                            <a:off x="6458" y="13920"/>
                            <a:ext cx="2880" cy="468"/>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仿宋_GB2312"/>
                                  <w:color w:val="000000"/>
                                  <w:sz w:val="24"/>
                                </w:rPr>
                              </w:pPr>
                              <w:r>
                                <w:rPr>
                                  <w:rFonts w:ascii="Arial" w:hAnsi="Arial" w:eastAsia="楷体_GB2312" w:cs="Arial"/>
                                  <w:color w:val="000000"/>
                                  <w:sz w:val="24"/>
                                </w:rPr>
                                <w:t>系统试运行系统培训</w:t>
                              </w:r>
                              <w:r>
                                <w:rPr>
                                  <w:rFonts w:hint="eastAsia" w:eastAsia="仿宋_GB2312"/>
                                  <w:color w:val="000000"/>
                                  <w:sz w:val="24"/>
                                </w:rPr>
                                <w:t xml:space="preserve">                                                     </w:t>
                              </w:r>
                            </w:p>
                          </w:txbxContent>
                        </wps:txbx>
                        <wps:bodyPr wrap="square" upright="1"/>
                      </wps:wsp>
                    </wpg:wgp>
                  </a:graphicData>
                </a:graphic>
              </wp:anchor>
            </w:drawing>
          </mc:Choice>
          <mc:Fallback>
            <w:pict>
              <v:group id="组合 278" o:spid="_x0000_s1026" o:spt="203" style="position:absolute;left:0pt;margin-left:45pt;margin-top:33.8pt;height:366.6pt;width:351pt;mso-wrap-distance-bottom:0pt;mso-wrap-distance-top:0pt;z-index:251668480;mso-width-relative:page;mso-height-relative:page;" coordorigin="2318,7056" coordsize="7020,7332" o:gfxdata="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">
                <o:lock v:ext="edit" aspectratio="f"/>
                <v:rect id="矩形 247" o:spid="_x0000_s1026" o:spt="1" style="position:absolute;left:2318;top:7056;height:468;width:2880;" fillcolor="#FFFFFF" filled="t" stroked="t" coordsize="21600,21600" o:gfxdata="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38aAvQAA&#10;ANwAAAAPAAAAAAAAAAEAIAAAACIAAABkcnMvZG93bnJldi54bWxQSwECFAAUAAAACACHTuJAMy8F&#10;njsAAAA5AAAAEAAAAAAAAAABACAAAAAMAQAAZHJzL3NoYXBleG1sLnhtbFBLBQYAAAAABgAGAFsB&#10;AAC2Aw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hint="eastAsia" w:eastAsia="仿宋_GB2312"/>
                            <w:color w:val="000000"/>
                            <w:sz w:val="24"/>
                          </w:rPr>
                          <w:t xml:space="preserve">系统桥架、管线验收                                                      </w:t>
                        </w:r>
                      </w:p>
                    </w:txbxContent>
                  </v:textbox>
                </v:rect>
                <v:rect id="矩形 248" o:spid="_x0000_s1026" o:spt="1" style="position:absolute;left:2318;top:8304;height:468;width:2880;" fillcolor="#FFFFFF" filled="t" stroked="t" coordsize="21600,21600" o:gfxdata="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zjHGC/&#10;AAAA3AAAAA8AAAAAAAAAAQAgAAAAIgAAAGRycy9kb3ducmV2LnhtbFBLAQIUABQAAAAIAIdO4kAz&#10;LwWeOwAAADkAAAAQAAAAAAAAAAEAIAAAAA4BAABkcnMvc2hhcGV4bWwueG1sUEsFBgAAAAAGAAYA&#10;WwEAALgDA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hint="eastAsia" w:eastAsia="仿宋_GB2312"/>
                            <w:color w:val="000000"/>
                            <w:sz w:val="24"/>
                          </w:rPr>
                          <w:t>单体设备验收</w:t>
                        </w:r>
                      </w:p>
                    </w:txbxContent>
                  </v:textbox>
                </v:rect>
                <v:rect id="矩形 249" o:spid="_x0000_s1026" o:spt="1" style="position:absolute;left:2318;top:9708;height:468;width:2880;" fillcolor="#FFFFFF" filled="t" stroked="t" coordsize="21600,21600" o:gfxdata="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vufu8AAAA&#10;3AAAAA8AAAAAAAAAAQAgAAAAIgAAAGRycy9kb3ducmV2LnhtbFBLAQIUABQAAAAIAIdO4kAzLwWe&#10;OwAAADkAAAAQAAAAAAAAAAEAIAAAAAsBAABkcnMvc2hhcGV4bWwueG1sUEsFBgAAAAAGAAYAWwEA&#10;ALUDA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hint="eastAsia" w:eastAsia="仿宋_GB2312"/>
                            <w:color w:val="000000"/>
                            <w:sz w:val="24"/>
                          </w:rPr>
                          <w:t>子系统功能验收</w:t>
                        </w:r>
                      </w:p>
                    </w:txbxContent>
                  </v:textbox>
                </v:rect>
                <v:rect id="矩形 250" o:spid="_x0000_s1026" o:spt="1" style="position:absolute;left:2318;top:11112;height:468;width:2880;" fillcolor="#FFFFFF" filled="t" stroked="t" coordsize="21600,21600" o:gfxdata="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9J4y8AAAA&#10;3AAAAA8AAAAAAAAAAQAgAAAAIgAAAGRycy9kb3ducmV2LnhtbFBLAQIUABQAAAAIAIdO4kAzLwWe&#10;OwAAADkAAAAQAAAAAAAAAAEAIAAAAAsBAABkcnMvc2hhcGV4bWwueG1sUEsFBgAAAAAGAAYAWwEA&#10;ALUDA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hint="eastAsia" w:eastAsia="仿宋_GB2312"/>
                            <w:color w:val="000000"/>
                            <w:sz w:val="24"/>
                          </w:rPr>
                          <w:t>系统联运（集成）验收</w:t>
                        </w:r>
                      </w:p>
                    </w:txbxContent>
                  </v:textbox>
                </v:rect>
                <v:line id="直线 251" o:spid="_x0000_s1026" o:spt="20" style="position:absolute;left:3758;top:7524;height:780;width:0;" filled="f" stroked="t" coordsize="21600,21600" o:gfxdata="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PsM9r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line id="直线 252" o:spid="_x0000_s1026" o:spt="20" style="position:absolute;left:3758;top:8772;height:936;width:0;" filled="f" stroked="t" coordsize="21600,21600" o:gfxdata="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xKUgr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line id="直线 253" o:spid="_x0000_s1026" o:spt="20" style="position:absolute;left:3758;top:10176;height:936;width:0;" filled="f" stroked="t" coordsize="21600,21600" o:gfxdata="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F4xGb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line id="直线 254" o:spid="_x0000_s1026" o:spt="20" style="position:absolute;left:5198;top:7368;flip:x y;height:0;width:1260;" filled="f" stroked="t" coordsize="21600,21600" o:gfxdata="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iplpa8AAAA&#10;3AAAAA8AAAAAAAAAAQAgAAAAIgAAAGRycy9kb3ducmV2LnhtbFBLAQIUABQAAAAIAIdO4kAzLwWe&#10;OwAAADkAAAAQAAAAAAAAAAEAIAAAAAsBAABkcnMvc2hhcGV4bWwueG1sUEsFBgAAAAAGAAYAWwEA&#10;ALUDAAAAAA==&#10;">
                  <v:fill on="f" focussize="0,0"/>
                  <v:stroke color="#000000" joinstyle="round" dashstyle="1 1" endcap="round" endarrow="block"/>
                  <v:imagedata o:title=""/>
                  <o:lock v:ext="edit" aspectratio="f"/>
                </v:line>
                <v:line id="直线 255" o:spid="_x0000_s1026" o:spt="20" style="position:absolute;left:5198;top:8616;flip:x y;height:0;width:1260;" filled="f" stroked="t" coordsize="21600,21600" o:gfxdata="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UzDb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line id="直线 256" o:spid="_x0000_s1026" o:spt="20" style="position:absolute;left:5198;top:10020;flip:x y;height:0;width:1260;" filled="f" stroked="t" coordsize="21600,21600" o:gfxdata="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qnf74A&#10;AADcAAAADwAAAAAAAAABACAAAAAiAAAAZHJzL2Rvd25yZXYueG1sUEsBAhQAFAAAAAgAh07iQDMv&#10;BZ47AAAAOQAAABAAAAAAAAAAAQAgAAAADQEAAGRycy9zaGFwZXhtbC54bWxQSwUGAAAAAAYABgBb&#10;AQAAtwMAAAAA&#10;">
                  <v:fill on="f" focussize="0,0"/>
                  <v:stroke color="#000000" joinstyle="round" dashstyle="1 1" endcap="round" endarrow="block"/>
                  <v:imagedata o:title=""/>
                  <o:lock v:ext="edit" aspectratio="f"/>
                </v:line>
                <v:line id="直线 257" o:spid="_x0000_s1026" o:spt="20" style="position:absolute;left:5198;top:11424;flip:x y;height:0;width:1260;" filled="f" stroked="t" coordsize="21600,21600" o:gfxdata="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k2AuS8AAAA&#10;3AAAAA8AAAAAAAAAAQAgAAAAIgAAAGRycy9kb3ducmV2LnhtbFBLAQIUABQAAAAIAIdO4kAzLwWe&#10;OwAAADkAAAAQAAAAAAAAAAEAIAAAAAsBAABkcnMvc2hhcGV4bWwueG1sUEsFBgAAAAAGAAYAWwEA&#10;ALUDAAAAAA==&#10;">
                  <v:fill on="f" focussize="0,0"/>
                  <v:stroke color="#000000" joinstyle="round" dashstyle="1 1" endcap="round" endarrow="block"/>
                  <v:imagedata o:title=""/>
                  <o:lock v:ext="edit" aspectratio="f"/>
                </v:line>
                <v:rect id="矩形 265" o:spid="_x0000_s1026" o:spt="1" style="position:absolute;left:6458;top:7056;height:468;width:2880;" fillcolor="#FFFFFF" filled="t" stroked="t" coordsize="21600,21600" o:gfxdata="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6ir2/&#10;AAAA3AAAAA8AAAAAAAAAAQAgAAAAIgAAAGRycy9kb3ducmV2LnhtbFBLAQIUABQAAAAIAIdO4kAz&#10;LwWeOwAAADkAAAAQAAAAAAAAAAEAIAAAAA4BAABkcnMvc2hhcGV4bWwueG1sUEsFBgAAAAAGAAYA&#10;WwEAALgDA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ascii="Arial" w:hAnsi="Arial" w:eastAsia="楷体_GB2312" w:cs="Arial"/>
                            <w:color w:val="000000"/>
                            <w:sz w:val="24"/>
                          </w:rPr>
                          <w:t>系统桥架、管线安装施工</w:t>
                        </w:r>
                        <w:r>
                          <w:rPr>
                            <w:rFonts w:hint="eastAsia" w:eastAsia="仿宋_GB2312"/>
                            <w:color w:val="000000"/>
                            <w:sz w:val="24"/>
                          </w:rPr>
                          <w:t xml:space="preserve">                                                      </w:t>
                        </w:r>
                      </w:p>
                    </w:txbxContent>
                  </v:textbox>
                </v:rect>
                <v:rect id="矩形 266" o:spid="_x0000_s1026" o:spt="1" style="position:absolute;left:6458;top:8304;height:468;width:2880;" fillcolor="#FFFFFF" filled="t" stroked="t" coordsize="21600,21600" o:gfxdata="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2Lya8AAAA&#10;3AAAAA8AAAAAAAAAAQAgAAAAIgAAAGRycy9kb3ducmV2LnhtbFBLAQIUABQAAAAIAIdO4kAzLwWe&#10;OwAAADkAAAAQAAAAAAAAAAEAIAAAAAsBAABkcnMvc2hhcGV4bWwueG1sUEsFBgAAAAAGAAYAWwEA&#10;ALUDAAAAAA==&#10;">
                  <v:fill on="t" focussize="0,0"/>
                  <v:stroke color="#000000" joinstyle="miter" dashstyle="1 1" endcap="round"/>
                  <v:imagedata o:title=""/>
                  <o:lock v:ext="edit" aspectratio="f"/>
                  <v:textbox>
                    <w:txbxContent>
                      <w:p>
                        <w:pPr>
                          <w:rPr>
                            <w:rFonts w:hint="eastAsia"/>
                          </w:rPr>
                        </w:pPr>
                        <w:r>
                          <w:rPr>
                            <w:rFonts w:ascii="Arial" w:hAnsi="Arial" w:eastAsia="楷体_GB2312" w:cs="Arial"/>
                            <w:color w:val="000000"/>
                            <w:sz w:val="24"/>
                          </w:rPr>
                          <w:t>系统设备安装施工</w:t>
                        </w:r>
                      </w:p>
                    </w:txbxContent>
                  </v:textbox>
                </v:rect>
                <v:rect id="矩形 267" o:spid="_x0000_s1026" o:spt="1" style="position:absolute;left:6458;top:9708;height:468;width:2880;" fillcolor="#FFFFFF" filled="t" stroked="t" coordsize="21600,21600" o:gfxdata="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aksVG8AAAA&#10;3AAAAA8AAAAAAAAAAQAgAAAAIgAAAGRycy9kb3ducmV2LnhtbFBLAQIUABQAAAAIAIdO4kAzLwWe&#10;OwAAADkAAAAQAAAAAAAAAAEAIAAAAAsBAABkcnMvc2hhcGV4bWwueG1sUEsFBgAAAAAGAAYAWwEA&#10;ALUDAAAAAA==&#10;">
                  <v:fill on="t" focussize="0,0"/>
                  <v:stroke color="#000000" joinstyle="miter" dashstyle="1 1" endcap="round"/>
                  <v:imagedata o:title=""/>
                  <o:lock v:ext="edit" aspectratio="f"/>
                  <v:textbox>
                    <w:txbxContent>
                      <w:p>
                        <w:pPr>
                          <w:rPr>
                            <w:rFonts w:hint="eastAsia"/>
                          </w:rPr>
                        </w:pPr>
                        <w:r>
                          <w:rPr>
                            <w:rFonts w:ascii="Arial" w:hAnsi="Arial" w:eastAsia="楷体_GB2312" w:cs="Arial"/>
                            <w:color w:val="000000"/>
                            <w:sz w:val="24"/>
                          </w:rPr>
                          <w:t>子系统调试</w:t>
                        </w:r>
                      </w:p>
                    </w:txbxContent>
                  </v:textbox>
                </v:rect>
                <v:rect id="矩形 268" o:spid="_x0000_s1026" o:spt="1" style="position:absolute;left:6458;top:11112;height:468;width:2880;" fillcolor="#FFFFFF" filled="t" stroked="t" coordsize="21600,21600" o:gfxdata="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6BTKvQAA&#10;ANwAAAAPAAAAAAAAAAEAIAAAACIAAABkcnMvZG93bnJldi54bWxQSwECFAAUAAAACACHTuJAMy8F&#10;njsAAAA5AAAAEAAAAAAAAAABACAAAAAMAQAAZHJzL3NoYXBleG1sLnhtbFBLBQYAAAAABgAGAFsB&#10;AAC2AwAAAAA=&#10;">
                  <v:fill on="t" focussize="0,0"/>
                  <v:stroke color="#000000" joinstyle="miter" dashstyle="1 1" endcap="round"/>
                  <v:imagedata o:title=""/>
                  <o:lock v:ext="edit" aspectratio="f"/>
                  <v:textbox>
                    <w:txbxContent>
                      <w:p>
                        <w:pPr>
                          <w:rPr>
                            <w:rFonts w:hint="eastAsia"/>
                          </w:rPr>
                        </w:pPr>
                        <w:r>
                          <w:rPr>
                            <w:rFonts w:ascii="Arial" w:hAnsi="Arial" w:eastAsia="楷体_GB2312" w:cs="Arial"/>
                            <w:color w:val="000000"/>
                            <w:sz w:val="24"/>
                          </w:rPr>
                          <w:t>系统联动或系统集成调试</w:t>
                        </w:r>
                      </w:p>
                    </w:txbxContent>
                  </v:textbox>
                </v:rect>
                <v:rect id="矩形 270" o:spid="_x0000_s1026" o:spt="1" style="position:absolute;left:2318;top:12516;height:468;width:2880;" fillcolor="#FFFFFF" filled="t" stroked="t" coordsize="21600,21600" o:gfxdata="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gGMvrsAAADc&#10;AAAADwAAAAAAAAABACAAAAAiAAAAZHJzL2Rvd25yZXYueG1sUEsBAhQAFAAAAAgAh07iQDMvBZ47&#10;AAAAOQAAABAAAAAAAAAAAQAgAAAACgEAAGRycy9zaGFwZXhtbC54bWxQSwUGAAAAAAYABgBbAQAA&#10;tAM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hint="eastAsia" w:eastAsia="仿宋_GB2312"/>
                            <w:color w:val="000000"/>
                            <w:sz w:val="24"/>
                          </w:rPr>
                          <w:t xml:space="preserve">第三方测试验收                                                      </w:t>
                        </w:r>
                      </w:p>
                    </w:txbxContent>
                  </v:textbox>
                </v:rect>
                <v:line id="直线 271" o:spid="_x0000_s1026" o:spt="20" style="position:absolute;left:3758;top:11580;height:936;width:0;" filled="f" stroked="t" coordsize="21600,21600" o:gfxdata="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YenxL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line id="直线 272" o:spid="_x0000_s1026" o:spt="20" style="position:absolute;left:3758;top:12984;height:936;width:0;" filled="f" stroked="t" coordsize="21600,21600" o:gfxdata="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U5s7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rect id="矩形 273" o:spid="_x0000_s1026" o:spt="1" style="position:absolute;left:2318;top:13920;height:468;width:2880;" fillcolor="#FFFFFF" filled="t" stroked="t" coordsize="21600,21600" o:gfxdata="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0xLJvQAA&#10;ANwAAAAPAAAAAAAAAAEAIAAAACIAAABkcnMvZG93bnJldi54bWxQSwECFAAUAAAACACHTuJAMy8F&#10;njsAAAA5AAAAEAAAAAAAAAABACAAAAAMAQAAZHJzL3NoYXBleG1sLnhtbFBLBQYAAAAABgAGAFsB&#10;AAC2Aw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hint="eastAsia" w:eastAsia="仿宋_GB2312"/>
                            <w:color w:val="000000"/>
                            <w:sz w:val="24"/>
                          </w:rPr>
                          <w:t xml:space="preserve">系统竣工交付验收                                                      </w:t>
                        </w:r>
                      </w:p>
                    </w:txbxContent>
                  </v:textbox>
                </v:rect>
                <v:line id="直线 274" o:spid="_x0000_s1026" o:spt="20" style="position:absolute;left:5198;top:14076;flip:x;height:0;width:1260;" filled="f" stroked="t" coordsize="21600,21600" o:gfxdata="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KbK68AAAA&#10;3AAAAA8AAAAAAAAAAQAgAAAAIgAAAGRycy9kb3ducmV2LnhtbFBLAQIUABQAAAAIAIdO4kAzLwWe&#10;OwAAADkAAAAQAAAAAAAAAAEAIAAAAAsBAABkcnMvc2hhcGV4bWwueG1sUEsFBgAAAAAGAAYAWwEA&#10;ALUDAAAAAA==&#10;">
                  <v:fill on="f" focussize="0,0"/>
                  <v:stroke color="#000000" joinstyle="round" dashstyle="1 1" endcap="round" endarrow="block"/>
                  <v:imagedata o:title=""/>
                  <o:lock v:ext="edit" aspectratio="f"/>
                </v:line>
                <v:line id="直线 275" o:spid="_x0000_s1026" o:spt="20" style="position:absolute;left:5198;top:12672;flip:x;height:0;width:1260;" filled="f" stroked="t" coordsize="21600,21600" o:gfxdata="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IbJNb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rect id="矩形 276" o:spid="_x0000_s1026" o:spt="1" style="position:absolute;left:6458;top:12516;height:468;width:2880;" fillcolor="#FFFFFF" filled="t" stroked="t" coordsize="21600,21600" o:gfxdata="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ZAAL4A&#10;AADcAAAADwAAAAAAAAABACAAAAAiAAAAZHJzL2Rvd25yZXYueG1sUEsBAhQAFAAAAAgAh07iQDMv&#10;BZ47AAAAOQAAABAAAAAAAAAAAQAgAAAADQEAAGRycy9zaGFwZXhtbC54bWxQSwUGAAAAAAYABgBb&#10;AQAAtwM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ascii="Arial" w:hAnsi="Arial" w:eastAsia="楷体_GB2312" w:cs="Arial"/>
                            <w:color w:val="000000"/>
                            <w:sz w:val="24"/>
                          </w:rPr>
                          <w:t>系统试运行结束</w:t>
                        </w:r>
                        <w:r>
                          <w:rPr>
                            <w:rFonts w:hint="eastAsia" w:eastAsia="仿宋_GB2312"/>
                            <w:color w:val="000000"/>
                            <w:sz w:val="24"/>
                          </w:rPr>
                          <w:t xml:space="preserve">                                                      </w:t>
                        </w:r>
                      </w:p>
                    </w:txbxContent>
                  </v:textbox>
                </v:rect>
                <v:rect id="矩形 277" o:spid="_x0000_s1026" o:spt="1" style="position:absolute;left:6458;top:13920;height:468;width:2880;" fillcolor="#FFFFFF" filled="t" stroked="t" coordsize="21600,21600" o:gfxdata="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GuWbugAAANwA&#10;AAAPAAAAAAAAAAEAIAAAACIAAABkcnMvZG93bnJldi54bWxQSwECFAAUAAAACACHTuJAMy8FnjsA&#10;AAA5AAAAEAAAAAAAAAABACAAAAAJAQAAZHJzL3NoYXBleG1sLnhtbFBLBQYAAAAABgAGAFsBAACz&#10;AwAAAAA=&#10;">
                  <v:fill on="t" focussize="0,0"/>
                  <v:stroke color="#000000" joinstyle="miter" dashstyle="1 1" endcap="round"/>
                  <v:imagedata o:title=""/>
                  <o:lock v:ext="edit" aspectratio="f"/>
                  <v:textbox>
                    <w:txbxContent>
                      <w:p>
                        <w:pPr>
                          <w:jc w:val="center"/>
                          <w:rPr>
                            <w:rFonts w:hint="eastAsia" w:eastAsia="仿宋_GB2312"/>
                            <w:color w:val="000000"/>
                            <w:sz w:val="24"/>
                          </w:rPr>
                        </w:pPr>
                        <w:r>
                          <w:rPr>
                            <w:rFonts w:ascii="Arial" w:hAnsi="Arial" w:eastAsia="楷体_GB2312" w:cs="Arial"/>
                            <w:color w:val="000000"/>
                            <w:sz w:val="24"/>
                          </w:rPr>
                          <w:t>系统试运行系统培训</w:t>
                        </w:r>
                        <w:r>
                          <w:rPr>
                            <w:rFonts w:hint="eastAsia" w:eastAsia="仿宋_GB2312"/>
                            <w:color w:val="000000"/>
                            <w:sz w:val="24"/>
                          </w:rPr>
                          <w:t xml:space="preserve">                                                     </w:t>
                        </w:r>
                      </w:p>
                    </w:txbxContent>
                  </v:textbox>
                </v:rect>
                <w10:wrap type="topAndBottom"/>
              </v:group>
            </w:pict>
          </mc:Fallback>
        </mc:AlternateContent>
      </w:r>
      <w:r>
        <w:rPr>
          <w:rFonts w:ascii="宋体" w:hAnsi="宋体" w:cs="Arial"/>
          <w:b/>
          <w:bCs/>
          <w:color w:val="000000"/>
          <w:sz w:val="24"/>
        </w:rPr>
        <w:t>验收分阶段实施步骤</w:t>
      </w:r>
    </w:p>
    <w:p>
      <w:pPr>
        <w:pStyle w:val="4"/>
        <w:numPr>
          <w:ilvl w:val="1"/>
          <w:numId w:val="120"/>
        </w:numPr>
        <w:rPr>
          <w:rFonts w:hint="eastAsia" w:ascii="宋体" w:hAnsi="宋体"/>
          <w:sz w:val="28"/>
          <w:szCs w:val="28"/>
        </w:rPr>
      </w:pPr>
      <w:bookmarkStart w:id="487" w:name="_Toc23171"/>
      <w:bookmarkStart w:id="488" w:name="_Toc1989"/>
      <w:bookmarkStart w:id="489" w:name="_Toc29513"/>
      <w:bookmarkStart w:id="490" w:name="_Toc12157"/>
      <w:bookmarkStart w:id="491" w:name="_Toc6908"/>
      <w:r>
        <w:rPr>
          <w:rFonts w:cs="Arial"/>
          <w:bCs w:val="0"/>
          <w:color w:val="000000"/>
          <w:sz w:val="28"/>
          <w:szCs w:val="28"/>
        </w:rPr>
        <w:t>竣工验收申请</w:t>
      </w:r>
      <w:bookmarkEnd w:id="487"/>
      <w:bookmarkEnd w:id="488"/>
      <w:bookmarkEnd w:id="489"/>
      <w:bookmarkEnd w:id="490"/>
      <w:bookmarkEnd w:id="491"/>
    </w:p>
    <w:p>
      <w:pPr>
        <w:spacing w:line="360" w:lineRule="auto"/>
        <w:ind w:firstLine="480" w:firstLineChars="200"/>
        <w:rPr>
          <w:rFonts w:hint="eastAsia" w:ascii="宋体" w:hAnsi="宋体" w:cs="Arial"/>
          <w:color w:val="000000"/>
          <w:sz w:val="24"/>
        </w:rPr>
      </w:pPr>
      <w:r>
        <w:rPr>
          <w:rFonts w:ascii="宋体" w:hAnsi="宋体" w:cs="Arial"/>
          <w:color w:val="000000"/>
          <w:sz w:val="24"/>
        </w:rPr>
        <w:t>施工达到竣工条件时，项目部首先进行预检验，补缺有缺陷的工程部位，准备好竣工资料，向甲方、监理方提供竣工验收申请。</w:t>
      </w:r>
    </w:p>
    <w:p>
      <w:pPr>
        <w:pStyle w:val="4"/>
        <w:numPr>
          <w:ilvl w:val="1"/>
          <w:numId w:val="120"/>
        </w:numPr>
        <w:rPr>
          <w:rFonts w:hint="eastAsia" w:ascii="宋体" w:hAnsi="宋体"/>
          <w:sz w:val="28"/>
          <w:szCs w:val="28"/>
        </w:rPr>
      </w:pPr>
      <w:bookmarkStart w:id="492" w:name="_Toc11443"/>
      <w:bookmarkStart w:id="493" w:name="_Toc9637"/>
      <w:bookmarkStart w:id="494" w:name="_Toc7075"/>
      <w:bookmarkStart w:id="495" w:name="_Toc7252"/>
      <w:bookmarkStart w:id="496" w:name="_Toc15200"/>
      <w:r>
        <w:rPr>
          <w:rFonts w:cs="Arial"/>
          <w:bCs w:val="0"/>
          <w:color w:val="000000"/>
          <w:sz w:val="28"/>
          <w:szCs w:val="28"/>
        </w:rPr>
        <w:t>单项工程验收</w:t>
      </w:r>
      <w:bookmarkEnd w:id="492"/>
      <w:bookmarkEnd w:id="493"/>
      <w:bookmarkEnd w:id="494"/>
      <w:bookmarkEnd w:id="495"/>
      <w:bookmarkEnd w:id="496"/>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由甲方</w:t>
      </w:r>
      <w:r>
        <w:rPr>
          <w:rFonts w:hint="eastAsia" w:ascii="宋体" w:hAnsi="宋体" w:cs="Arial"/>
          <w:color w:val="000000"/>
          <w:sz w:val="24"/>
        </w:rPr>
        <w:t>、总包方</w:t>
      </w:r>
      <w:r>
        <w:rPr>
          <w:rFonts w:ascii="宋体" w:hAnsi="宋体" w:cs="Arial"/>
          <w:color w:val="000000"/>
          <w:sz w:val="24"/>
        </w:rPr>
        <w:t>组织交工验收，依据国家颁布的有关技术规范和施工合同，对以下方面进行检查和检验。</w:t>
      </w:r>
    </w:p>
    <w:p>
      <w:pPr>
        <w:numPr>
          <w:ilvl w:val="0"/>
          <w:numId w:val="121"/>
        </w:numPr>
        <w:tabs>
          <w:tab w:val="left" w:pos="180"/>
        </w:tabs>
        <w:spacing w:line="360" w:lineRule="auto"/>
        <w:rPr>
          <w:rFonts w:ascii="宋体" w:hAnsi="宋体" w:cs="Arial"/>
          <w:color w:val="000000"/>
          <w:sz w:val="24"/>
        </w:rPr>
      </w:pPr>
      <w:r>
        <w:rPr>
          <w:rFonts w:ascii="宋体" w:hAnsi="宋体" w:cs="Arial"/>
          <w:color w:val="000000"/>
          <w:sz w:val="24"/>
        </w:rPr>
        <w:t>检查、核实竣工项目准备移交给甲方的所有技术资料的完整性和准确性。</w:t>
      </w:r>
    </w:p>
    <w:p>
      <w:pPr>
        <w:numPr>
          <w:ilvl w:val="0"/>
          <w:numId w:val="121"/>
        </w:numPr>
        <w:tabs>
          <w:tab w:val="left" w:pos="180"/>
        </w:tabs>
        <w:spacing w:line="360" w:lineRule="auto"/>
        <w:rPr>
          <w:rFonts w:ascii="宋体" w:hAnsi="宋体" w:cs="Arial"/>
          <w:color w:val="000000"/>
          <w:sz w:val="24"/>
        </w:rPr>
      </w:pPr>
      <w:r>
        <w:rPr>
          <w:rFonts w:ascii="宋体" w:hAnsi="宋体" w:cs="Arial"/>
          <w:color w:val="000000"/>
          <w:sz w:val="24"/>
        </w:rPr>
        <w:t>按照设计文件和合同检查已完建工程是否有漏项。</w:t>
      </w:r>
    </w:p>
    <w:p>
      <w:pPr>
        <w:numPr>
          <w:ilvl w:val="0"/>
          <w:numId w:val="121"/>
        </w:numPr>
        <w:tabs>
          <w:tab w:val="left" w:pos="180"/>
        </w:tabs>
        <w:spacing w:line="360" w:lineRule="auto"/>
        <w:rPr>
          <w:rFonts w:ascii="宋体" w:hAnsi="宋体" w:cs="Arial"/>
          <w:color w:val="000000"/>
          <w:sz w:val="24"/>
        </w:rPr>
      </w:pPr>
      <w:r>
        <w:rPr>
          <w:rFonts w:ascii="宋体" w:hAnsi="宋体" w:cs="Arial"/>
          <w:color w:val="000000"/>
          <w:sz w:val="24"/>
        </w:rPr>
        <w:t>检查工程质量、隐蔽工程验收资料，施工记录，考察施工质量是否达到合同和规范的要求。</w:t>
      </w:r>
    </w:p>
    <w:p>
      <w:pPr>
        <w:numPr>
          <w:ilvl w:val="0"/>
          <w:numId w:val="121"/>
        </w:numPr>
        <w:tabs>
          <w:tab w:val="left" w:pos="180"/>
        </w:tabs>
        <w:spacing w:line="360" w:lineRule="auto"/>
        <w:rPr>
          <w:rFonts w:ascii="宋体" w:hAnsi="宋体" w:cs="Arial"/>
          <w:color w:val="000000"/>
          <w:sz w:val="24"/>
        </w:rPr>
      </w:pPr>
      <w:r>
        <w:rPr>
          <w:rFonts w:ascii="宋体" w:hAnsi="宋体" w:cs="Arial"/>
          <w:color w:val="000000"/>
          <w:sz w:val="24"/>
        </w:rPr>
        <w:t>检查调试记录、调试报告中发生问题是否解决。</w:t>
      </w:r>
    </w:p>
    <w:p>
      <w:pPr>
        <w:numPr>
          <w:ilvl w:val="0"/>
          <w:numId w:val="121"/>
        </w:numPr>
        <w:tabs>
          <w:tab w:val="left" w:pos="180"/>
        </w:tabs>
        <w:spacing w:line="360" w:lineRule="auto"/>
        <w:rPr>
          <w:rFonts w:ascii="宋体" w:hAnsi="宋体" w:cs="Arial"/>
          <w:color w:val="000000"/>
          <w:sz w:val="24"/>
        </w:rPr>
      </w:pPr>
      <w:r>
        <w:rPr>
          <w:rFonts w:ascii="宋体" w:hAnsi="宋体" w:cs="Arial"/>
          <w:color w:val="000000"/>
          <w:sz w:val="24"/>
        </w:rPr>
        <w:t>检查试运行启示、试运行报告中发生问题是否根除。</w:t>
      </w:r>
    </w:p>
    <w:p>
      <w:pPr>
        <w:numPr>
          <w:ilvl w:val="0"/>
          <w:numId w:val="121"/>
        </w:numPr>
        <w:tabs>
          <w:tab w:val="left" w:pos="180"/>
        </w:tabs>
        <w:spacing w:line="360" w:lineRule="auto"/>
        <w:rPr>
          <w:rFonts w:hint="eastAsia" w:ascii="宋体" w:hAnsi="宋体" w:cs="Arial"/>
          <w:color w:val="000000"/>
          <w:sz w:val="24"/>
        </w:rPr>
      </w:pPr>
      <w:r>
        <w:rPr>
          <w:rFonts w:ascii="宋体" w:hAnsi="宋体" w:cs="Arial"/>
          <w:color w:val="000000"/>
          <w:sz w:val="24"/>
        </w:rPr>
        <w:t>竣工验收中发现问题需要返工、修补，明确规定完成期限。</w:t>
      </w:r>
    </w:p>
    <w:p>
      <w:pPr>
        <w:numPr>
          <w:ilvl w:val="0"/>
          <w:numId w:val="121"/>
        </w:numPr>
        <w:tabs>
          <w:tab w:val="left" w:pos="180"/>
        </w:tabs>
        <w:spacing w:line="360" w:lineRule="auto"/>
        <w:rPr>
          <w:rFonts w:ascii="宋体" w:hAnsi="宋体" w:cs="Arial"/>
          <w:color w:val="000000"/>
          <w:sz w:val="24"/>
        </w:rPr>
      </w:pPr>
      <w:r>
        <w:rPr>
          <w:rFonts w:ascii="宋体" w:hAnsi="宋体" w:cs="Arial"/>
          <w:color w:val="000000"/>
          <w:sz w:val="24"/>
        </w:rPr>
        <w:t>其他设计施工的有关问题。</w:t>
      </w:r>
    </w:p>
    <w:p>
      <w:pPr>
        <w:pStyle w:val="4"/>
        <w:numPr>
          <w:ilvl w:val="1"/>
          <w:numId w:val="120"/>
        </w:numPr>
        <w:rPr>
          <w:rFonts w:hint="eastAsia" w:ascii="宋体" w:hAnsi="宋体"/>
          <w:sz w:val="28"/>
          <w:szCs w:val="28"/>
        </w:rPr>
      </w:pPr>
      <w:bookmarkStart w:id="497" w:name="_Toc21106"/>
      <w:bookmarkStart w:id="498" w:name="_Toc11897"/>
      <w:bookmarkStart w:id="499" w:name="_Toc2041"/>
      <w:bookmarkStart w:id="500" w:name="_Toc26297"/>
      <w:bookmarkStart w:id="501" w:name="_Toc31418"/>
      <w:r>
        <w:rPr>
          <w:rFonts w:hint="eastAsia" w:cs="Arial"/>
          <w:bCs w:val="0"/>
          <w:color w:val="000000"/>
          <w:sz w:val="28"/>
          <w:szCs w:val="28"/>
        </w:rPr>
        <w:t>总体</w:t>
      </w:r>
      <w:r>
        <w:rPr>
          <w:rFonts w:cs="Arial"/>
          <w:bCs w:val="0"/>
          <w:color w:val="000000"/>
          <w:sz w:val="28"/>
          <w:szCs w:val="28"/>
        </w:rPr>
        <w:t>工程验收</w:t>
      </w:r>
      <w:bookmarkEnd w:id="497"/>
      <w:bookmarkEnd w:id="498"/>
      <w:bookmarkEnd w:id="499"/>
      <w:bookmarkEnd w:id="500"/>
      <w:bookmarkEnd w:id="501"/>
    </w:p>
    <w:p>
      <w:pPr>
        <w:tabs>
          <w:tab w:val="left" w:pos="180"/>
        </w:tabs>
        <w:spacing w:line="360" w:lineRule="auto"/>
        <w:rPr>
          <w:rFonts w:ascii="宋体" w:hAnsi="宋体" w:cs="Arial"/>
          <w:color w:val="000000"/>
          <w:sz w:val="24"/>
        </w:rPr>
      </w:pPr>
      <w:r>
        <w:rPr>
          <w:rFonts w:hint="eastAsia" w:ascii="宋体" w:hAnsi="宋体" w:cs="Arial"/>
          <w:color w:val="000000"/>
          <w:sz w:val="24"/>
        </w:rPr>
        <w:t>总体</w:t>
      </w:r>
      <w:r>
        <w:rPr>
          <w:rFonts w:ascii="宋体" w:hAnsi="宋体" w:cs="Arial"/>
          <w:color w:val="000000"/>
          <w:sz w:val="24"/>
        </w:rPr>
        <w:t>工程验收分为验收准备、预验收、正式验收三个阶段。</w:t>
      </w:r>
    </w:p>
    <w:p>
      <w:pPr>
        <w:tabs>
          <w:tab w:val="left" w:pos="180"/>
        </w:tabs>
        <w:spacing w:line="360" w:lineRule="auto"/>
        <w:ind w:firstLine="482" w:firstLineChars="200"/>
        <w:rPr>
          <w:rFonts w:ascii="宋体" w:hAnsi="宋体" w:cs="Arial"/>
          <w:b/>
          <w:bCs/>
          <w:color w:val="000000"/>
          <w:sz w:val="24"/>
        </w:rPr>
      </w:pPr>
      <w:r>
        <w:rPr>
          <w:rFonts w:ascii="宋体" w:hAnsi="宋体" w:cs="Arial"/>
          <w:b/>
          <w:color w:val="000000"/>
          <w:sz w:val="24"/>
        </w:rPr>
        <w:t>1、验收准备</w:t>
      </w:r>
    </w:p>
    <w:p>
      <w:pPr>
        <w:numPr>
          <w:ilvl w:val="0"/>
          <w:numId w:val="111"/>
        </w:numPr>
        <w:tabs>
          <w:tab w:val="left" w:pos="180"/>
        </w:tabs>
        <w:spacing w:line="360" w:lineRule="auto"/>
        <w:rPr>
          <w:rFonts w:ascii="宋体" w:hAnsi="宋体" w:cs="Arial"/>
          <w:color w:val="000000"/>
          <w:sz w:val="24"/>
        </w:rPr>
      </w:pPr>
      <w:r>
        <w:rPr>
          <w:rFonts w:ascii="宋体" w:hAnsi="宋体" w:cs="Arial"/>
          <w:color w:val="000000"/>
          <w:sz w:val="24"/>
        </w:rPr>
        <w:t>核实工程完成情况，列出已交工工程和未完工工程一览表。</w:t>
      </w:r>
    </w:p>
    <w:p>
      <w:pPr>
        <w:numPr>
          <w:ilvl w:val="0"/>
          <w:numId w:val="111"/>
        </w:numPr>
        <w:tabs>
          <w:tab w:val="left" w:pos="180"/>
        </w:tabs>
        <w:spacing w:line="360" w:lineRule="auto"/>
        <w:rPr>
          <w:rFonts w:ascii="宋体" w:hAnsi="宋体" w:cs="Arial"/>
          <w:color w:val="000000"/>
          <w:sz w:val="24"/>
        </w:rPr>
      </w:pPr>
      <w:r>
        <w:rPr>
          <w:rFonts w:ascii="宋体" w:hAnsi="宋体" w:cs="Arial"/>
          <w:color w:val="000000"/>
          <w:sz w:val="24"/>
        </w:rPr>
        <w:t>检查工程质量，查明须返工和补修工程，提出具体修补竣工期限。</w:t>
      </w:r>
    </w:p>
    <w:p>
      <w:pPr>
        <w:numPr>
          <w:ilvl w:val="0"/>
          <w:numId w:val="111"/>
        </w:numPr>
        <w:tabs>
          <w:tab w:val="left" w:pos="180"/>
        </w:tabs>
        <w:spacing w:line="360" w:lineRule="auto"/>
        <w:rPr>
          <w:rFonts w:ascii="宋体" w:hAnsi="宋体" w:cs="Arial"/>
          <w:color w:val="000000"/>
          <w:sz w:val="24"/>
        </w:rPr>
      </w:pPr>
      <w:r>
        <w:rPr>
          <w:rFonts w:ascii="宋体" w:hAnsi="宋体" w:cs="Arial"/>
          <w:color w:val="000000"/>
          <w:sz w:val="24"/>
        </w:rPr>
        <w:t>整理汇总建设项目档案资料，分类编目，装订成册。</w:t>
      </w:r>
    </w:p>
    <w:p>
      <w:pPr>
        <w:numPr>
          <w:ilvl w:val="0"/>
          <w:numId w:val="111"/>
        </w:numPr>
        <w:tabs>
          <w:tab w:val="left" w:pos="180"/>
        </w:tabs>
        <w:spacing w:line="360" w:lineRule="auto"/>
        <w:rPr>
          <w:rFonts w:ascii="宋体" w:hAnsi="宋体" w:cs="Arial"/>
          <w:color w:val="000000"/>
          <w:sz w:val="24"/>
        </w:rPr>
      </w:pPr>
      <w:r>
        <w:rPr>
          <w:rFonts w:ascii="宋体" w:hAnsi="宋体" w:cs="Arial"/>
          <w:color w:val="000000"/>
          <w:sz w:val="24"/>
        </w:rPr>
        <w:t>落实正式运行准备。</w:t>
      </w:r>
    </w:p>
    <w:p>
      <w:pPr>
        <w:numPr>
          <w:ilvl w:val="0"/>
          <w:numId w:val="111"/>
        </w:numPr>
        <w:tabs>
          <w:tab w:val="left" w:pos="180"/>
        </w:tabs>
        <w:spacing w:line="360" w:lineRule="auto"/>
        <w:rPr>
          <w:rFonts w:ascii="宋体" w:hAnsi="宋体" w:cs="Arial"/>
          <w:color w:val="000000"/>
          <w:sz w:val="24"/>
        </w:rPr>
      </w:pPr>
      <w:r>
        <w:rPr>
          <w:rFonts w:ascii="宋体" w:hAnsi="宋体" w:cs="Arial"/>
          <w:color w:val="000000"/>
          <w:sz w:val="24"/>
        </w:rPr>
        <w:t>提出决算</w:t>
      </w:r>
    </w:p>
    <w:p>
      <w:pPr>
        <w:numPr>
          <w:ilvl w:val="0"/>
          <w:numId w:val="111"/>
        </w:numPr>
        <w:tabs>
          <w:tab w:val="left" w:pos="180"/>
        </w:tabs>
        <w:spacing w:line="360" w:lineRule="auto"/>
        <w:rPr>
          <w:rFonts w:ascii="宋体" w:hAnsi="宋体" w:cs="Arial"/>
          <w:color w:val="000000"/>
          <w:sz w:val="24"/>
        </w:rPr>
      </w:pPr>
      <w:r>
        <w:rPr>
          <w:rFonts w:ascii="宋体" w:hAnsi="宋体" w:cs="Arial"/>
          <w:color w:val="000000"/>
          <w:sz w:val="24"/>
        </w:rPr>
        <w:t>编写竣工验收报告。</w:t>
      </w:r>
    </w:p>
    <w:p>
      <w:pPr>
        <w:tabs>
          <w:tab w:val="left" w:pos="180"/>
        </w:tabs>
        <w:spacing w:line="360" w:lineRule="auto"/>
        <w:ind w:left="480"/>
        <w:rPr>
          <w:rFonts w:ascii="宋体" w:hAnsi="宋体" w:cs="Arial"/>
          <w:b/>
          <w:color w:val="000000"/>
          <w:sz w:val="24"/>
        </w:rPr>
      </w:pPr>
      <w:r>
        <w:rPr>
          <w:rFonts w:ascii="宋体" w:hAnsi="宋体" w:cs="Arial"/>
          <w:b/>
          <w:color w:val="000000"/>
          <w:sz w:val="24"/>
        </w:rPr>
        <w:t>2、预验收</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检查、核实竣工资料的完整性、准确性，是否符合归档要求。</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检查项目建设标准，评定系统质量，对隐患和遗留问题提出处理意见。</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检查财务报表是否齐全，数据是否真实，开支是否合理。</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检查正式运行准备情况。</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排除验收中有争议的问题，协调在关、部门关系。</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督促返工、补做工程的修竣和收尾工程的完工，并复验确认整改质量。</w:t>
      </w:r>
    </w:p>
    <w:p>
      <w:pPr>
        <w:numPr>
          <w:ilvl w:val="0"/>
          <w:numId w:val="122"/>
        </w:numPr>
        <w:tabs>
          <w:tab w:val="left" w:pos="720"/>
        </w:tabs>
        <w:spacing w:line="360" w:lineRule="auto"/>
        <w:ind w:hanging="780"/>
        <w:rPr>
          <w:rFonts w:ascii="宋体" w:hAnsi="宋体" w:cs="Arial"/>
          <w:color w:val="000000"/>
          <w:sz w:val="24"/>
        </w:rPr>
      </w:pPr>
      <w:r>
        <w:rPr>
          <w:rFonts w:ascii="宋体" w:hAnsi="宋体" w:cs="Arial"/>
          <w:color w:val="000000"/>
          <w:sz w:val="24"/>
        </w:rPr>
        <w:t>编写竣工预验收报告和系统移交报告。</w:t>
      </w:r>
    </w:p>
    <w:p>
      <w:pPr>
        <w:tabs>
          <w:tab w:val="left" w:pos="180"/>
        </w:tabs>
        <w:spacing w:line="360" w:lineRule="auto"/>
        <w:ind w:left="600"/>
        <w:rPr>
          <w:rFonts w:ascii="宋体" w:hAnsi="宋体" w:cs="Arial"/>
          <w:b/>
          <w:color w:val="000000"/>
          <w:sz w:val="24"/>
        </w:rPr>
      </w:pPr>
      <w:r>
        <w:rPr>
          <w:rFonts w:ascii="宋体" w:hAnsi="宋体" w:cs="Arial"/>
          <w:b/>
          <w:color w:val="000000"/>
          <w:sz w:val="24"/>
        </w:rPr>
        <w:t>3、正式验收</w:t>
      </w:r>
    </w:p>
    <w:p>
      <w:pPr>
        <w:numPr>
          <w:ilvl w:val="1"/>
          <w:numId w:val="111"/>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听取项目建设的工作报告</w:t>
      </w:r>
    </w:p>
    <w:p>
      <w:pPr>
        <w:numPr>
          <w:ilvl w:val="1"/>
          <w:numId w:val="111"/>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审核竣工项目移交使用的各种档案资料。</w:t>
      </w:r>
    </w:p>
    <w:p>
      <w:pPr>
        <w:numPr>
          <w:ilvl w:val="1"/>
          <w:numId w:val="111"/>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评审项目质量。</w:t>
      </w:r>
    </w:p>
    <w:p>
      <w:pPr>
        <w:numPr>
          <w:ilvl w:val="1"/>
          <w:numId w:val="111"/>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审查运行规程，检查运行准备情况。</w:t>
      </w:r>
    </w:p>
    <w:p>
      <w:pPr>
        <w:numPr>
          <w:ilvl w:val="1"/>
          <w:numId w:val="111"/>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核定收尾项目，对遗留问题提出处理意见。</w:t>
      </w:r>
    </w:p>
    <w:p>
      <w:pPr>
        <w:numPr>
          <w:ilvl w:val="1"/>
          <w:numId w:val="111"/>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审查竣工验收报告，对整个项目做出总的验收鉴定。</w:t>
      </w:r>
    </w:p>
    <w:p>
      <w:pPr>
        <w:spacing w:line="360" w:lineRule="auto"/>
        <w:ind w:firstLine="480" w:firstLineChars="200"/>
        <w:rPr>
          <w:rFonts w:hint="eastAsia" w:ascii="宋体" w:hAnsi="宋体" w:cs="Arial"/>
          <w:color w:val="000000"/>
          <w:sz w:val="24"/>
        </w:rPr>
      </w:pPr>
    </w:p>
    <w:p>
      <w:pPr>
        <w:pStyle w:val="2"/>
        <w:numPr>
          <w:ilvl w:val="0"/>
          <w:numId w:val="2"/>
        </w:numPr>
        <w:tabs>
          <w:tab w:val="left" w:pos="1800"/>
          <w:tab w:val="clear" w:pos="2175"/>
        </w:tabs>
        <w:ind w:left="1800" w:hanging="1800"/>
        <w:jc w:val="center"/>
        <w:rPr>
          <w:rFonts w:hint="eastAsia" w:cs="Arial"/>
          <w:bCs w:val="0"/>
          <w:color w:val="000000"/>
          <w:sz w:val="32"/>
          <w:szCs w:val="32"/>
        </w:rPr>
      </w:pPr>
      <w:r>
        <w:rPr>
          <w:sz w:val="32"/>
          <w:szCs w:val="32"/>
        </w:rPr>
        <w:br w:type="page"/>
      </w:r>
      <w:bookmarkStart w:id="502" w:name="_Toc93674475"/>
      <w:bookmarkStart w:id="503" w:name="_Toc2460"/>
      <w:bookmarkStart w:id="504" w:name="_Toc19971"/>
      <w:bookmarkStart w:id="505" w:name="_Toc14937"/>
      <w:bookmarkStart w:id="506" w:name="_Toc28712"/>
      <w:bookmarkStart w:id="507" w:name="_Toc17841"/>
      <w:r>
        <w:rPr>
          <w:rFonts w:hint="eastAsia" w:cs="Arial"/>
          <w:color w:val="000000"/>
          <w:sz w:val="32"/>
          <w:szCs w:val="32"/>
        </w:rPr>
        <w:t>培训</w:t>
      </w:r>
      <w:bookmarkEnd w:id="502"/>
      <w:r>
        <w:rPr>
          <w:rFonts w:hint="eastAsia" w:cs="Arial"/>
          <w:color w:val="000000"/>
          <w:sz w:val="32"/>
          <w:szCs w:val="32"/>
        </w:rPr>
        <w:t>计划</w:t>
      </w:r>
      <w:bookmarkEnd w:id="503"/>
      <w:bookmarkEnd w:id="504"/>
      <w:bookmarkEnd w:id="505"/>
      <w:bookmarkEnd w:id="506"/>
      <w:bookmarkEnd w:id="507"/>
    </w:p>
    <w:p>
      <w:pPr>
        <w:pStyle w:val="3"/>
        <w:numPr>
          <w:ilvl w:val="1"/>
          <w:numId w:val="2"/>
        </w:numPr>
        <w:rPr>
          <w:rFonts w:hint="eastAsia" w:ascii="宋体" w:hAnsi="宋体" w:eastAsia="宋体" w:cs="Arial"/>
          <w:bCs w:val="0"/>
          <w:color w:val="000000"/>
          <w:sz w:val="30"/>
          <w:szCs w:val="30"/>
        </w:rPr>
      </w:pPr>
      <w:bookmarkStart w:id="508" w:name="_Toc5939"/>
      <w:bookmarkStart w:id="509" w:name="_Toc18606"/>
      <w:bookmarkStart w:id="510" w:name="_Toc18030"/>
      <w:bookmarkStart w:id="511" w:name="_Toc3281"/>
      <w:bookmarkStart w:id="512" w:name="_Toc13660"/>
      <w:bookmarkStart w:id="513" w:name="_Toc93674476"/>
      <w:r>
        <w:rPr>
          <w:rFonts w:hint="eastAsia" w:ascii="宋体" w:hAnsi="宋体" w:eastAsia="宋体" w:cs="Arial"/>
          <w:sz w:val="30"/>
          <w:szCs w:val="30"/>
        </w:rPr>
        <w:t>培训目的</w:t>
      </w:r>
      <w:bookmarkEnd w:id="508"/>
      <w:bookmarkEnd w:id="509"/>
      <w:bookmarkEnd w:id="510"/>
      <w:bookmarkEnd w:id="511"/>
      <w:bookmarkEnd w:id="512"/>
      <w:bookmarkEnd w:id="513"/>
    </w:p>
    <w:p>
      <w:pPr>
        <w:spacing w:line="360" w:lineRule="auto"/>
        <w:ind w:firstLine="480"/>
        <w:rPr>
          <w:rFonts w:ascii="宋体" w:hAnsi="宋体" w:cs="Arial"/>
          <w:color w:val="000000"/>
          <w:sz w:val="24"/>
        </w:rPr>
      </w:pPr>
      <w:r>
        <w:rPr>
          <w:rFonts w:ascii="宋体" w:hAnsi="宋体" w:cs="Arial"/>
          <w:color w:val="000000"/>
          <w:sz w:val="24"/>
        </w:rPr>
        <w:t>很多工程竣工验收后，虽然能够正常投入使用，但是随着时间的推移，由于操作人员的技术水平较低和施工单位对售后服务工作的忽视，导致系统逐渐瘫痪，致使一流的系统施工变成了三流的运行系统，甚至最后系统完全成为摆设，白白浪费了大量投资。所以说，</w:t>
      </w:r>
      <w:r>
        <w:rPr>
          <w:rFonts w:hint="eastAsia" w:ascii="宋体" w:hAnsi="宋体" w:cs="Arial"/>
          <w:color w:val="000000"/>
          <w:sz w:val="24"/>
        </w:rPr>
        <w:t>弱电</w:t>
      </w:r>
      <w:r>
        <w:rPr>
          <w:rFonts w:ascii="宋体" w:hAnsi="宋体" w:cs="Arial"/>
          <w:color w:val="000000"/>
          <w:sz w:val="24"/>
        </w:rPr>
        <w:t>系统的建成并不意味着就可以一劳永逸的享受现代化科技的成果，大量艰苦的工作还在后面。只有在良好的管理下，系统才能长期的维持正常工作，整个工程投资才能得到预期的效益。因此，必须重视以下几方面的工作：</w:t>
      </w:r>
    </w:p>
    <w:p>
      <w:pPr>
        <w:numPr>
          <w:ilvl w:val="0"/>
          <w:numId w:val="123"/>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一支熟悉业务的监控系统管理队伍。这支队伍的人员应当在工程安装调试阶段就参与工作，并接受施工单位和设备供应商的课程与操作培训，对系统的工作原理、设备分布、操作方法与一般故障排除都熟练掌握。</w:t>
      </w:r>
    </w:p>
    <w:p>
      <w:pPr>
        <w:numPr>
          <w:ilvl w:val="0"/>
          <w:numId w:val="123"/>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建立完整的操作与管理制度，整理完备的系统技术资料（系统竣工图、设备产品技术说明与系统操作说明书）。这是保证系统长期正常运行的基本条件。</w:t>
      </w:r>
    </w:p>
    <w:p>
      <w:pPr>
        <w:numPr>
          <w:ilvl w:val="0"/>
          <w:numId w:val="123"/>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在系统运行中不断完善、提升功能。监控系统在工程实施中由于各种原因，往往存在一些缺陷，有些在竣工前可以发现，还有一些则要在运行后才会暴露出来。所以，必须对系统投运后的改进工作要给予足够重视。</w:t>
      </w:r>
    </w:p>
    <w:p>
      <w:pPr>
        <w:numPr>
          <w:ilvl w:val="0"/>
          <w:numId w:val="123"/>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免费保养期后的维护保养费用必须保证。监控系统和其他设备一样都需要定期专业维护保养，损坏和老化的器件与器材应予以及时更换，以免造成事故扩大以至系统瘫痪。</w:t>
      </w:r>
    </w:p>
    <w:p>
      <w:pPr>
        <w:numPr>
          <w:ilvl w:val="0"/>
          <w:numId w:val="123"/>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为确保系统能够长期正常运行，我公司承诺：在系统安装设备期间请甲方相关技术人员参加设备安装调试，系统试运行前为甲方免费培训2名系统软件操作、维护人员，同时帮助甲方建立一整套操作与管理制度，并提供详尽的系统技术资料，保证技术操作人员能够熟练操作系统并能够排除系统发生的一般性故障。</w:t>
      </w:r>
    </w:p>
    <w:p>
      <w:pPr>
        <w:spacing w:line="360" w:lineRule="auto"/>
        <w:ind w:firstLine="480" w:firstLineChars="200"/>
        <w:rPr>
          <w:rFonts w:hint="eastAsia" w:ascii="宋体" w:hAnsi="宋体" w:cs="Arial"/>
          <w:color w:val="000000"/>
          <w:sz w:val="24"/>
        </w:rPr>
      </w:pPr>
    </w:p>
    <w:p>
      <w:pPr>
        <w:pStyle w:val="3"/>
        <w:numPr>
          <w:ilvl w:val="1"/>
          <w:numId w:val="2"/>
        </w:numPr>
        <w:rPr>
          <w:rFonts w:hint="eastAsia" w:ascii="宋体" w:hAnsi="宋体" w:eastAsia="宋体" w:cs="Arial"/>
          <w:bCs w:val="0"/>
          <w:color w:val="000000"/>
          <w:sz w:val="30"/>
          <w:szCs w:val="30"/>
        </w:rPr>
      </w:pPr>
      <w:bookmarkStart w:id="514" w:name="_Toc93674477"/>
      <w:bookmarkStart w:id="515" w:name="_Toc29801"/>
      <w:bookmarkStart w:id="516" w:name="_Toc30218"/>
      <w:bookmarkStart w:id="517" w:name="_Toc3187"/>
      <w:bookmarkStart w:id="518" w:name="_Toc9879"/>
      <w:bookmarkStart w:id="519" w:name="_Toc11090"/>
      <w:r>
        <w:rPr>
          <w:rFonts w:ascii="宋体" w:hAnsi="宋体" w:eastAsia="宋体" w:cs="Arial"/>
          <w:bCs w:val="0"/>
          <w:color w:val="000000"/>
          <w:sz w:val="30"/>
          <w:szCs w:val="30"/>
        </w:rPr>
        <w:t>操作手册</w:t>
      </w:r>
      <w:bookmarkEnd w:id="514"/>
      <w:bookmarkEnd w:id="515"/>
      <w:bookmarkEnd w:id="516"/>
      <w:bookmarkEnd w:id="517"/>
      <w:bookmarkEnd w:id="518"/>
      <w:bookmarkEnd w:id="519"/>
    </w:p>
    <w:p>
      <w:pPr>
        <w:tabs>
          <w:tab w:val="left" w:pos="180"/>
        </w:tabs>
        <w:spacing w:line="360" w:lineRule="auto"/>
        <w:ind w:firstLine="480" w:firstLineChars="200"/>
        <w:rPr>
          <w:rFonts w:hint="eastAsia" w:ascii="宋体" w:hAnsi="宋体" w:cs="Arial"/>
          <w:color w:val="000000"/>
          <w:sz w:val="24"/>
        </w:rPr>
      </w:pPr>
      <w:r>
        <w:rPr>
          <w:rFonts w:ascii="宋体" w:hAnsi="宋体" w:cs="Arial"/>
          <w:color w:val="000000"/>
          <w:sz w:val="24"/>
        </w:rPr>
        <w:t>系统一旦建成，后期各系统要长期保持正常运行，仅有供应商提供完善的售后服务是远远不够的，操作人员长期战斗在第一线，整个系统投入运行后的状态与他们有密切的关系。只有了解了系统的组成、工作原理和设备性能，同时严格按照规范对系统进行操作及维护保养才能确保系统的长期稳定运行。同时，随着社会发展，人员的流动性增大有可能导致后来人员对系统不熟悉造成系统无法正常运行而瘫痪。因此，我公司将在本工程结束后针对各系统所使用的设备性能、系统功能及操作步骤等方面详细编制各系统操作说明手册并提供给甲方，作为培训教材及后续操作人员学习使用以解决以上问题。</w:t>
      </w:r>
    </w:p>
    <w:p>
      <w:pPr>
        <w:pStyle w:val="3"/>
        <w:numPr>
          <w:ilvl w:val="1"/>
          <w:numId w:val="2"/>
        </w:numPr>
        <w:rPr>
          <w:rFonts w:hint="eastAsia" w:ascii="宋体" w:hAnsi="宋体" w:eastAsia="宋体" w:cs="Arial"/>
          <w:bCs w:val="0"/>
          <w:color w:val="000000"/>
          <w:sz w:val="30"/>
          <w:szCs w:val="30"/>
        </w:rPr>
      </w:pPr>
      <w:bookmarkStart w:id="520" w:name="_Toc31810"/>
      <w:r>
        <w:rPr>
          <w:rFonts w:ascii="宋体" w:hAnsi="宋体" w:eastAsia="宋体" w:cs="Arial"/>
          <w:bCs w:val="0"/>
          <w:color w:val="000000"/>
          <w:sz w:val="30"/>
          <w:szCs w:val="30"/>
        </w:rPr>
        <w:t>培训计划</w:t>
      </w:r>
      <w:bookmarkEnd w:id="520"/>
    </w:p>
    <w:p>
      <w:pPr>
        <w:pStyle w:val="4"/>
        <w:numPr>
          <w:ilvl w:val="1"/>
          <w:numId w:val="124"/>
        </w:numPr>
        <w:rPr>
          <w:rFonts w:hint="eastAsia" w:cs="Arial"/>
          <w:bCs w:val="0"/>
          <w:color w:val="000000"/>
          <w:sz w:val="28"/>
          <w:szCs w:val="28"/>
        </w:rPr>
      </w:pPr>
      <w:bookmarkStart w:id="521" w:name="_Toc21933"/>
      <w:r>
        <w:rPr>
          <w:rFonts w:hint="eastAsia" w:cs="Arial"/>
          <w:bCs w:val="0"/>
          <w:color w:val="000000"/>
          <w:sz w:val="28"/>
          <w:szCs w:val="28"/>
        </w:rPr>
        <w:t>培训服务承诺</w:t>
      </w:r>
      <w:bookmarkEnd w:id="521"/>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我公司对本项目中所提供的相关产品和技术服务提供如下承诺：</w:t>
      </w:r>
    </w:p>
    <w:p>
      <w:pPr>
        <w:tabs>
          <w:tab w:val="left" w:pos="180"/>
        </w:tabs>
        <w:spacing w:line="360" w:lineRule="auto"/>
        <w:rPr>
          <w:rFonts w:hint="eastAsia" w:ascii="宋体" w:hAnsi="宋体" w:eastAsia="宋体" w:cs="Arial"/>
          <w:color w:val="000000"/>
          <w:sz w:val="24"/>
          <w:lang w:eastAsia="zh-CN"/>
        </w:rPr>
      </w:pPr>
      <w:r>
        <w:rPr>
          <w:rFonts w:ascii="宋体" w:hAnsi="宋体" w:cs="Arial"/>
          <w:color w:val="000000"/>
          <w:sz w:val="24"/>
        </w:rPr>
        <w:t>一、对本项目中整个服务期内免费提供培训服务，具体内容如下</w:t>
      </w:r>
      <w:r>
        <w:rPr>
          <w:rFonts w:hint="eastAsia" w:hAnsi="宋体" w:cs="Arial"/>
          <w:color w:val="000000"/>
          <w:sz w:val="24"/>
          <w:lang w:eastAsia="zh-CN"/>
        </w:rPr>
        <w:t>：</w:t>
      </w:r>
    </w:p>
    <w:p>
      <w:pPr>
        <w:numPr>
          <w:ilvl w:val="0"/>
          <w:numId w:val="125"/>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培训目标：被培训人能够简单判断日常故障点及系统操作，理解系统原理和架构，熟练使用系统。</w:t>
      </w:r>
    </w:p>
    <w:p>
      <w:pPr>
        <w:numPr>
          <w:ilvl w:val="0"/>
          <w:numId w:val="125"/>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培训计划：成立专门的培训小组，制定培训计划和教程，根据培训要求，系统培训前与客户负责人沟通、项目实施培训方式、人员培训计划及师资配备、培训总结、答疑、培训质量控制计划；</w:t>
      </w:r>
    </w:p>
    <w:p>
      <w:pPr>
        <w:numPr>
          <w:ilvl w:val="0"/>
          <w:numId w:val="125"/>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培训内容及方法：系统登录操作讲解、系统软件功能操作讲解、中心设备日常操作培训及操作手册的讲解、设备日常维护手册讲解、系统使用实战演练讲解、日常故障恢复方 案讲解、故障申诉途径讲解；所有的培训采用讲解加实操的方法进行。</w:t>
      </w:r>
    </w:p>
    <w:p>
      <w:pPr>
        <w:tabs>
          <w:tab w:val="left" w:pos="180"/>
        </w:tabs>
        <w:spacing w:line="360" w:lineRule="auto"/>
        <w:rPr>
          <w:rFonts w:hint="eastAsia" w:ascii="宋体" w:hAnsi="宋体" w:eastAsia="宋体" w:cs="Arial"/>
          <w:color w:val="000000"/>
          <w:sz w:val="24"/>
          <w:lang w:eastAsia="zh-CN"/>
        </w:rPr>
      </w:pPr>
      <w:r>
        <w:rPr>
          <w:rFonts w:ascii="宋体" w:hAnsi="宋体" w:cs="Arial"/>
          <w:color w:val="000000"/>
          <w:sz w:val="24"/>
        </w:rPr>
        <w:t>二、培训服务方式包括但不限于以下</w:t>
      </w:r>
      <w:r>
        <w:rPr>
          <w:rFonts w:hint="eastAsia" w:hAnsi="宋体" w:cs="Arial"/>
          <w:color w:val="000000"/>
          <w:sz w:val="24"/>
          <w:lang w:eastAsia="zh-CN"/>
        </w:rPr>
        <w:t>：</w:t>
      </w:r>
    </w:p>
    <w:p>
      <w:pPr>
        <w:numPr>
          <w:ilvl w:val="0"/>
          <w:numId w:val="126"/>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现场培训服务</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对于系统所有使用人员（包含外勤民警等相关人员） ：根据指挥中心操作人员、维护人 员、调度人员、指挥领导、外勤民警等角色，有针对性的进行系统的培训和讲解，已达到各自熟练使用系统的目的。</w:t>
      </w:r>
    </w:p>
    <w:p>
      <w:pPr>
        <w:numPr>
          <w:ilvl w:val="0"/>
          <w:numId w:val="126"/>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视频培训服务</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对于系统使用人员：指挥中心操作人员、维护人员、调度人员、指挥领导、外勤民警等各个角色通过视频会议的形式进行系统的培训和讲解， 已达到各自熟练使用系统的目的。视频培训只针对应急性培训或针对无法参加现场培训的人员，也可以根据甲方要求组织视频培训。</w:t>
      </w:r>
    </w:p>
    <w:p>
      <w:pPr>
        <w:numPr>
          <w:ilvl w:val="0"/>
          <w:numId w:val="126"/>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实操培训服务</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对于系统使用人员：指挥中心操作人员、维护人员、调度人员、指挥领导、外勤民警等各个角色通过现场实操的形式进行系统的培训和讲解，已达到各自熟练使用系统的目的。</w:t>
      </w:r>
    </w:p>
    <w:p>
      <w:pPr>
        <w:tabs>
          <w:tab w:val="left" w:pos="180"/>
        </w:tabs>
        <w:spacing w:line="360" w:lineRule="auto"/>
        <w:ind w:firstLine="495"/>
        <w:rPr>
          <w:rFonts w:ascii="宋体" w:hAnsi="宋体" w:eastAsia="宋体" w:cs="宋体"/>
          <w:spacing w:val="-1"/>
          <w:sz w:val="24"/>
          <w:szCs w:val="24"/>
        </w:rPr>
      </w:pPr>
      <w:r>
        <w:rPr>
          <w:rFonts w:ascii="宋体" w:hAnsi="宋体" w:eastAsia="宋体" w:cs="宋体"/>
          <w:spacing w:val="-1"/>
          <w:sz w:val="24"/>
          <w:szCs w:val="24"/>
        </w:rPr>
        <w:t>在整个服务期内为用户提供免费培训服务，同时提供产品保证期后的产品培训服务。</w:t>
      </w:r>
    </w:p>
    <w:p>
      <w:pPr>
        <w:pStyle w:val="4"/>
        <w:numPr>
          <w:ilvl w:val="1"/>
          <w:numId w:val="124"/>
        </w:numPr>
        <w:rPr>
          <w:rFonts w:hint="eastAsia" w:cs="Arial"/>
          <w:bCs w:val="0"/>
          <w:color w:val="000000"/>
          <w:sz w:val="28"/>
          <w:szCs w:val="28"/>
        </w:rPr>
      </w:pPr>
      <w:bookmarkStart w:id="522" w:name="_Toc30375"/>
      <w:r>
        <w:rPr>
          <w:rFonts w:hint="eastAsia" w:cs="Arial"/>
          <w:bCs w:val="0"/>
          <w:color w:val="000000"/>
          <w:sz w:val="28"/>
          <w:szCs w:val="28"/>
        </w:rPr>
        <w:t>培训计划</w:t>
      </w:r>
      <w:bookmarkEnd w:id="522"/>
    </w:p>
    <w:p>
      <w:pPr>
        <w:pStyle w:val="3"/>
        <w:rPr>
          <w:rFonts w:hint="eastAsia" w:ascii="宋体" w:hAnsi="宋体" w:eastAsia="宋体" w:cs="宋体"/>
          <w:bCs w:val="0"/>
          <w:color w:val="000000"/>
          <w:sz w:val="24"/>
          <w:szCs w:val="24"/>
          <w:lang w:val="en-US" w:eastAsia="zh-CN"/>
        </w:rPr>
      </w:pPr>
      <w:bookmarkStart w:id="523" w:name="_Toc5684"/>
      <w:r>
        <w:rPr>
          <w:rFonts w:hint="eastAsia" w:ascii="宋体" w:hAnsi="宋体" w:eastAsia="宋体" w:cs="宋体"/>
          <w:bCs w:val="0"/>
          <w:color w:val="000000"/>
          <w:sz w:val="24"/>
          <w:szCs w:val="24"/>
          <w:lang w:val="en-US" w:eastAsia="zh-CN"/>
        </w:rPr>
        <w:t>3.2.1 培训要求</w:t>
      </w:r>
      <w:bookmarkEnd w:id="523"/>
    </w:p>
    <w:p>
      <w:pPr>
        <w:spacing w:line="360" w:lineRule="auto"/>
        <w:ind w:firstLine="480" w:firstLineChars="200"/>
        <w:rPr>
          <w:rFonts w:ascii="宋体" w:hAnsi="宋体" w:cs="Arial"/>
          <w:color w:val="000000"/>
          <w:sz w:val="24"/>
        </w:rPr>
      </w:pPr>
      <w:r>
        <w:rPr>
          <w:rFonts w:ascii="宋体" w:hAnsi="宋体" w:cs="Arial"/>
          <w:color w:val="000000"/>
          <w:sz w:val="24"/>
        </w:rPr>
        <w:t>我公司结合产品的安装、调试及试运行过程，有计划地对采购单位派出的管理、维护人 员进行产品的基本知识、使用、维护及保养技术的现场培训(包括我公司定期举办的培训班)，其费用包含在投标价格中。</w:t>
      </w:r>
    </w:p>
    <w:p>
      <w:pPr>
        <w:numPr>
          <w:ilvl w:val="0"/>
          <w:numId w:val="127"/>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我公司免费提供对用户方相关人员（领导、管理者、各级最终用户和系统管理员等）的培训，在响应文件中提供详细的培训方案，方案包括培训项目、人数、地点、资料等 详细内容，安排具有业务经验的讲师，并列明完整的人员培训目标、对象、课程体系、培训方法和考核方法等。</w:t>
      </w:r>
    </w:p>
    <w:p>
      <w:pPr>
        <w:numPr>
          <w:ilvl w:val="0"/>
          <w:numId w:val="127"/>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技术培训的内容覆盖系统的日常操作和管理维护。</w:t>
      </w:r>
    </w:p>
    <w:p>
      <w:pPr>
        <w:pStyle w:val="3"/>
        <w:rPr>
          <w:rFonts w:hint="eastAsia" w:ascii="宋体" w:hAnsi="宋体" w:eastAsia="宋体" w:cs="宋体"/>
          <w:bCs w:val="0"/>
          <w:color w:val="000000"/>
          <w:sz w:val="24"/>
          <w:szCs w:val="24"/>
          <w:lang w:val="en-US" w:eastAsia="zh-CN"/>
        </w:rPr>
      </w:pPr>
      <w:bookmarkStart w:id="524" w:name="_Toc20881"/>
      <w:r>
        <w:rPr>
          <w:rFonts w:hint="eastAsia" w:ascii="宋体" w:hAnsi="宋体" w:eastAsia="宋体" w:cs="宋体"/>
          <w:bCs w:val="0"/>
          <w:color w:val="000000"/>
          <w:sz w:val="24"/>
          <w:szCs w:val="24"/>
          <w:lang w:val="en-US" w:eastAsia="zh-CN"/>
        </w:rPr>
        <w:t>3.2.2 培训前与客户负责人沟通</w:t>
      </w:r>
      <w:bookmarkEnd w:id="524"/>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培训方式： 按照培训对象及培训内容的不同，我公司将为用户安排所有系统使用人员和技术人员的培训。培训遵循讲授与实践相结合的原则， 可采用个别辅导、个别答疑、现场集中讲授、现场集中训练、上门辅导、模拟操作培训、现场操作指导培训等方式进行，不包括远程培训。</w:t>
      </w:r>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培训规模：点对点培训、大课培训、大课分批次培训、办公室培训；</w:t>
      </w:r>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培训场地： 普通会议室、带电脑的培训室（需要去现场提前调试笔记本与投影仪、话筒；电脑室需要调试网络环境或服务器部署）；培训地点在用户指定地点。</w:t>
      </w:r>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培训内容：凡属本项目中涉及到的重要产品使用、技术原理、应用集成等方面，诸如分析研判系统、 指挥中心显示系统、 数据存储系统、平台应用与维护、机房环境及硬件系统使用及维护等，我公司均安排相应的培训。</w:t>
      </w:r>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培训对象： 管理员、客户内部人员、应用该系统的外单位用户、领导培训（对领导培训，先对系统管理员个别辅导培训，再对领导进行个别辅导培训）；</w:t>
      </w:r>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培训资料：电子文档、打印纸质文档、印刷专用手册（我公司免费提供）；</w:t>
      </w:r>
    </w:p>
    <w:p>
      <w:pPr>
        <w:numPr>
          <w:ilvl w:val="0"/>
          <w:numId w:val="128"/>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培训日程：大规模全天候培训需要制定培训计划表与日程表；</w:t>
      </w:r>
    </w:p>
    <w:p>
      <w:pPr>
        <w:numPr>
          <w:ilvl w:val="0"/>
          <w:numId w:val="128"/>
        </w:numPr>
        <w:tabs>
          <w:tab w:val="left" w:pos="1050"/>
          <w:tab w:val="clear" w:pos="1320"/>
        </w:tabs>
        <w:spacing w:line="360" w:lineRule="auto"/>
        <w:ind w:left="1050" w:hanging="525"/>
        <w:rPr>
          <w:rFonts w:hint="eastAsia" w:ascii="宋体" w:hAnsi="宋体" w:cs="Arial"/>
          <w:color w:val="000000"/>
          <w:sz w:val="24"/>
        </w:rPr>
      </w:pPr>
      <w:r>
        <w:rPr>
          <w:rFonts w:ascii="宋体" w:hAnsi="宋体" w:cs="Arial"/>
          <w:color w:val="000000"/>
          <w:sz w:val="24"/>
        </w:rPr>
        <w:t>培训系统环境：真实服务器系统、模拟系统、笔记本本机演示系统。</w:t>
      </w:r>
    </w:p>
    <w:p>
      <w:pPr>
        <w:pStyle w:val="3"/>
        <w:rPr>
          <w:rFonts w:hint="eastAsia" w:ascii="宋体" w:hAnsi="宋体" w:eastAsia="宋体" w:cs="宋体"/>
          <w:bCs w:val="0"/>
          <w:color w:val="000000"/>
          <w:sz w:val="24"/>
          <w:szCs w:val="24"/>
          <w:lang w:val="en-US" w:eastAsia="zh-CN"/>
        </w:rPr>
      </w:pPr>
      <w:bookmarkStart w:id="525" w:name="_Toc11550"/>
      <w:r>
        <w:rPr>
          <w:rFonts w:hint="eastAsia" w:ascii="宋体" w:hAnsi="宋体" w:eastAsia="宋体" w:cs="宋体"/>
          <w:bCs w:val="0"/>
          <w:color w:val="000000"/>
          <w:sz w:val="24"/>
          <w:szCs w:val="24"/>
          <w:lang w:val="en-US" w:eastAsia="zh-CN"/>
        </w:rPr>
        <w:t>3.2.3 项目实施培训方式</w:t>
      </w:r>
      <w:bookmarkEnd w:id="525"/>
    </w:p>
    <w:p>
      <w:pPr>
        <w:numPr>
          <w:ilvl w:val="0"/>
          <w:numId w:val="129"/>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由易到难，大课集中上机培训考虑到各层次人员电脑应用水平及相关工作人员年龄问题，从最基本电脑操作着手；</w:t>
      </w:r>
    </w:p>
    <w:p>
      <w:pPr>
        <w:numPr>
          <w:ilvl w:val="0"/>
          <w:numId w:val="129"/>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实际上机操作，现场模拟业务流程，现场考核；</w:t>
      </w:r>
    </w:p>
    <w:p>
      <w:pPr>
        <w:numPr>
          <w:ilvl w:val="0"/>
          <w:numId w:val="129"/>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指定系统管理员，对其进行相关业务培训、软件操作培训、后台管理员培训培训、常见问题处理方法培训等；</w:t>
      </w:r>
    </w:p>
    <w:p>
      <w:pPr>
        <w:numPr>
          <w:ilvl w:val="0"/>
          <w:numId w:val="129"/>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分批次对系统使用人员进行培训；</w:t>
      </w:r>
    </w:p>
    <w:p>
      <w:pPr>
        <w:numPr>
          <w:ilvl w:val="0"/>
          <w:numId w:val="129"/>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领导用户点对点培训；</w:t>
      </w:r>
    </w:p>
    <w:p>
      <w:pPr>
        <w:numPr>
          <w:ilvl w:val="0"/>
          <w:numId w:val="129"/>
        </w:numPr>
        <w:tabs>
          <w:tab w:val="left" w:pos="1050"/>
          <w:tab w:val="clear" w:pos="1320"/>
        </w:tabs>
        <w:spacing w:line="360" w:lineRule="auto"/>
        <w:ind w:left="1050" w:hanging="525"/>
        <w:rPr>
          <w:rFonts w:ascii="宋体" w:hAnsi="宋体" w:cs="Arial"/>
          <w:color w:val="000000"/>
          <w:sz w:val="24"/>
        </w:rPr>
      </w:pPr>
      <w:r>
        <w:rPr>
          <w:rFonts w:ascii="宋体" w:hAnsi="宋体" w:cs="Arial"/>
          <w:color w:val="000000"/>
          <w:sz w:val="24"/>
        </w:rPr>
        <w:t>寻找合适的单位先期试用及试运行。</w:t>
      </w:r>
    </w:p>
    <w:tbl>
      <w:tblPr>
        <w:tblStyle w:val="41"/>
        <w:tblpPr w:leftFromText="180" w:rightFromText="180" w:vertAnchor="text" w:horzAnchor="page" w:tblpX="1808" w:tblpY="2104"/>
        <w:tblOverlap w:val="never"/>
        <w:tblW w:w="831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6"/>
        <w:gridCol w:w="61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8316" w:type="dxa"/>
            <w:gridSpan w:val="2"/>
            <w:vAlign w:val="top"/>
          </w:tcPr>
          <w:p>
            <w:pPr>
              <w:spacing w:before="190" w:line="240" w:lineRule="auto"/>
              <w:ind w:firstLine="3280"/>
              <w:rPr>
                <w:rFonts w:hint="eastAsia" w:ascii="宋体" w:hAnsi="宋体" w:eastAsia="宋体" w:cs="宋体"/>
                <w:sz w:val="24"/>
                <w:szCs w:val="24"/>
              </w:rPr>
            </w:pPr>
            <w:r>
              <w:rPr>
                <w:rFonts w:hint="eastAsia" w:ascii="宋体" w:hAnsi="宋体" w:eastAsia="宋体" w:cs="宋体"/>
                <w:spacing w:val="-1"/>
                <w:sz w:val="24"/>
                <w:szCs w:val="24"/>
              </w:rPr>
              <w:t>培训内容及计划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126" w:type="dxa"/>
            <w:vAlign w:val="top"/>
          </w:tcPr>
          <w:p>
            <w:pPr>
              <w:spacing w:before="98" w:line="240" w:lineRule="auto"/>
              <w:ind w:firstLine="317"/>
              <w:rPr>
                <w:rFonts w:hint="eastAsia" w:ascii="宋体" w:hAnsi="宋体" w:eastAsia="宋体" w:cs="宋体"/>
                <w:sz w:val="24"/>
                <w:szCs w:val="24"/>
              </w:rPr>
            </w:pPr>
            <w:r>
              <w:rPr>
                <w:rFonts w:hint="eastAsia" w:ascii="宋体" w:hAnsi="宋体" w:eastAsia="宋体" w:cs="宋体"/>
                <w:spacing w:val="-9"/>
                <w:sz w:val="24"/>
                <w:szCs w:val="24"/>
              </w:rPr>
              <w:t>时</w:t>
            </w:r>
            <w:r>
              <w:rPr>
                <w:rFonts w:hint="eastAsia" w:ascii="宋体" w:hAnsi="宋体" w:eastAsia="宋体" w:cs="宋体"/>
                <w:spacing w:val="26"/>
                <w:sz w:val="24"/>
                <w:szCs w:val="24"/>
              </w:rPr>
              <w:t xml:space="preserve"> </w:t>
            </w:r>
            <w:r>
              <w:rPr>
                <w:rFonts w:hint="eastAsia" w:ascii="宋体" w:hAnsi="宋体" w:eastAsia="宋体" w:cs="宋体"/>
                <w:spacing w:val="-9"/>
                <w:sz w:val="24"/>
                <w:szCs w:val="24"/>
              </w:rPr>
              <w:t>间</w:t>
            </w:r>
          </w:p>
        </w:tc>
        <w:tc>
          <w:tcPr>
            <w:tcW w:w="6190" w:type="dxa"/>
            <w:vAlign w:val="top"/>
          </w:tcPr>
          <w:p>
            <w:pPr>
              <w:spacing w:before="98" w:line="240" w:lineRule="auto"/>
              <w:ind w:firstLine="3056"/>
              <w:rPr>
                <w:rFonts w:hint="eastAsia" w:ascii="宋体" w:hAnsi="宋体" w:eastAsia="宋体" w:cs="宋体"/>
                <w:sz w:val="24"/>
                <w:szCs w:val="24"/>
              </w:rPr>
            </w:pPr>
            <w:r>
              <w:rPr>
                <w:rFonts w:hint="eastAsia" w:ascii="宋体" w:hAnsi="宋体" w:eastAsia="宋体" w:cs="宋体"/>
                <w:spacing w:val="-17"/>
                <w:sz w:val="24"/>
                <w:szCs w:val="24"/>
              </w:rPr>
              <w:t>内</w:t>
            </w:r>
            <w:r>
              <w:rPr>
                <w:rFonts w:hint="eastAsia" w:ascii="宋体" w:hAnsi="宋体" w:eastAsia="宋体" w:cs="宋体"/>
                <w:spacing w:val="5"/>
                <w:sz w:val="24"/>
                <w:szCs w:val="24"/>
              </w:rPr>
              <w:t xml:space="preserve">    </w:t>
            </w:r>
            <w:r>
              <w:rPr>
                <w:rFonts w:hint="eastAsia" w:ascii="宋体" w:hAnsi="宋体" w:eastAsia="宋体" w:cs="宋体"/>
                <w:spacing w:val="-17"/>
                <w:sz w:val="24"/>
                <w:szCs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5" w:hRule="atLeast"/>
        </w:trPr>
        <w:tc>
          <w:tcPr>
            <w:tcW w:w="2126" w:type="dxa"/>
            <w:vAlign w:val="top"/>
          </w:tcPr>
          <w:p>
            <w:pPr>
              <w:spacing w:line="240" w:lineRule="auto"/>
              <w:jc w:val="center"/>
              <w:rPr>
                <w:rFonts w:hint="eastAsia" w:ascii="宋体" w:hAnsi="宋体" w:eastAsia="宋体" w:cs="宋体"/>
                <w:sz w:val="24"/>
                <w:szCs w:val="24"/>
              </w:rPr>
            </w:pPr>
          </w:p>
          <w:p>
            <w:pPr>
              <w:spacing w:line="240" w:lineRule="auto"/>
              <w:jc w:val="center"/>
              <w:rPr>
                <w:rFonts w:hint="eastAsia" w:ascii="宋体" w:hAnsi="宋体" w:eastAsia="宋体" w:cs="宋体"/>
                <w:sz w:val="24"/>
                <w:szCs w:val="24"/>
              </w:rPr>
            </w:pPr>
          </w:p>
          <w:p>
            <w:pPr>
              <w:spacing w:line="240" w:lineRule="auto"/>
              <w:jc w:val="center"/>
              <w:rPr>
                <w:rFonts w:hint="eastAsia" w:ascii="宋体" w:hAnsi="宋体" w:eastAsia="宋体" w:cs="宋体"/>
                <w:sz w:val="24"/>
                <w:szCs w:val="24"/>
              </w:rPr>
            </w:pPr>
          </w:p>
          <w:p>
            <w:pPr>
              <w:spacing w:before="69" w:line="240" w:lineRule="auto"/>
              <w:ind w:left="250" w:hanging="234"/>
              <w:jc w:val="center"/>
              <w:rPr>
                <w:rFonts w:hint="eastAsia" w:ascii="宋体" w:hAnsi="宋体" w:eastAsia="宋体" w:cs="宋体"/>
                <w:sz w:val="24"/>
                <w:szCs w:val="24"/>
              </w:rPr>
            </w:pPr>
            <w:r>
              <w:rPr>
                <w:rFonts w:hint="eastAsia" w:ascii="宋体" w:hAnsi="宋体" w:eastAsia="宋体" w:cs="宋体"/>
                <w:spacing w:val="-10"/>
                <w:w w:val="99"/>
                <w:sz w:val="24"/>
                <w:szCs w:val="24"/>
              </w:rPr>
              <w:t>2~3天（8个</w:t>
            </w:r>
            <w:r>
              <w:rPr>
                <w:rFonts w:hint="eastAsia" w:ascii="宋体" w:hAnsi="宋体" w:eastAsia="宋体" w:cs="宋体"/>
                <w:spacing w:val="-6"/>
                <w:sz w:val="24"/>
                <w:szCs w:val="24"/>
              </w:rPr>
              <w:t>课时）</w:t>
            </w:r>
          </w:p>
        </w:tc>
        <w:tc>
          <w:tcPr>
            <w:tcW w:w="6190" w:type="dxa"/>
            <w:vAlign w:val="top"/>
          </w:tcPr>
          <w:p>
            <w:pPr>
              <w:spacing w:before="200" w:line="240" w:lineRule="auto"/>
              <w:ind w:firstLine="8"/>
              <w:rPr>
                <w:rFonts w:hint="eastAsia" w:ascii="宋体" w:hAnsi="宋体" w:eastAsia="宋体" w:cs="宋体"/>
                <w:sz w:val="24"/>
                <w:szCs w:val="24"/>
              </w:rPr>
            </w:pPr>
            <w:r>
              <w:rPr>
                <w:rFonts w:hint="eastAsia" w:ascii="宋体" w:hAnsi="宋体" w:eastAsia="宋体" w:cs="宋体"/>
                <w:spacing w:val="-6"/>
                <w:sz w:val="24"/>
                <w:szCs w:val="24"/>
              </w:rPr>
              <w:t>第一部分：</w:t>
            </w:r>
          </w:p>
          <w:p>
            <w:pPr>
              <w:spacing w:before="62" w:line="240" w:lineRule="auto"/>
              <w:ind w:firstLine="432"/>
              <w:rPr>
                <w:rFonts w:hint="eastAsia" w:ascii="宋体" w:hAnsi="宋体" w:eastAsia="宋体" w:cs="宋体"/>
                <w:sz w:val="24"/>
                <w:szCs w:val="24"/>
              </w:rPr>
            </w:pPr>
            <w:r>
              <w:rPr>
                <w:rFonts w:hint="eastAsia" w:ascii="宋体" w:hAnsi="宋体" w:eastAsia="宋体" w:cs="宋体"/>
                <w:spacing w:val="-3"/>
                <w:position w:val="10"/>
                <w:sz w:val="24"/>
                <w:szCs w:val="24"/>
              </w:rPr>
              <w:t>系统概论</w:t>
            </w:r>
          </w:p>
          <w:p>
            <w:pPr>
              <w:spacing w:before="62" w:line="240" w:lineRule="auto"/>
              <w:ind w:firstLine="432"/>
              <w:rPr>
                <w:rFonts w:hint="eastAsia" w:ascii="宋体" w:hAnsi="宋体" w:eastAsia="宋体" w:cs="宋体"/>
                <w:spacing w:val="-3"/>
                <w:position w:val="10"/>
                <w:sz w:val="24"/>
                <w:szCs w:val="24"/>
              </w:rPr>
            </w:pPr>
            <w:r>
              <w:rPr>
                <w:rFonts w:hint="eastAsia" w:ascii="宋体" w:hAnsi="宋体" w:eastAsia="宋体" w:cs="宋体"/>
                <w:spacing w:val="-3"/>
                <w:position w:val="10"/>
                <w:sz w:val="24"/>
                <w:szCs w:val="24"/>
              </w:rPr>
              <w:t>系统原理</w:t>
            </w:r>
          </w:p>
          <w:p>
            <w:pPr>
              <w:spacing w:before="62" w:line="240" w:lineRule="auto"/>
              <w:ind w:firstLine="432"/>
              <w:rPr>
                <w:rFonts w:hint="eastAsia" w:ascii="宋体" w:hAnsi="宋体" w:eastAsia="宋体" w:cs="宋体"/>
                <w:spacing w:val="-3"/>
                <w:position w:val="10"/>
                <w:sz w:val="24"/>
                <w:szCs w:val="24"/>
              </w:rPr>
            </w:pPr>
            <w:r>
              <w:rPr>
                <w:rFonts w:hint="eastAsia" w:ascii="宋体" w:hAnsi="宋体" w:eastAsia="宋体" w:cs="宋体"/>
                <w:spacing w:val="-3"/>
                <w:position w:val="10"/>
                <w:sz w:val="24"/>
                <w:szCs w:val="24"/>
              </w:rPr>
              <w:t>指挥中心分析研判系统解析</w:t>
            </w:r>
          </w:p>
          <w:p>
            <w:pPr>
              <w:spacing w:before="62" w:line="240" w:lineRule="auto"/>
              <w:ind w:firstLine="432"/>
              <w:rPr>
                <w:rFonts w:hint="eastAsia" w:ascii="宋体" w:hAnsi="宋体" w:eastAsia="宋体" w:cs="宋体"/>
                <w:spacing w:val="-3"/>
                <w:position w:val="10"/>
                <w:sz w:val="24"/>
                <w:szCs w:val="24"/>
              </w:rPr>
            </w:pPr>
            <w:r>
              <w:rPr>
                <w:rFonts w:hint="eastAsia" w:ascii="宋体" w:hAnsi="宋体" w:eastAsia="宋体" w:cs="宋体"/>
                <w:spacing w:val="-3"/>
                <w:position w:val="10"/>
                <w:sz w:val="24"/>
                <w:szCs w:val="24"/>
              </w:rPr>
              <w:t>电子警察系统解析</w:t>
            </w:r>
          </w:p>
          <w:p>
            <w:pPr>
              <w:spacing w:before="62" w:line="240" w:lineRule="auto"/>
              <w:ind w:firstLine="432"/>
              <w:rPr>
                <w:rFonts w:hint="eastAsia" w:ascii="宋体" w:hAnsi="宋体" w:eastAsia="宋体" w:cs="宋体"/>
                <w:spacing w:val="-3"/>
                <w:position w:val="10"/>
                <w:sz w:val="24"/>
                <w:szCs w:val="24"/>
              </w:rPr>
            </w:pPr>
            <w:r>
              <w:rPr>
                <w:rFonts w:hint="eastAsia" w:ascii="宋体" w:hAnsi="宋体" w:eastAsia="宋体" w:cs="宋体"/>
                <w:spacing w:val="-3"/>
                <w:position w:val="10"/>
                <w:sz w:val="24"/>
                <w:szCs w:val="24"/>
              </w:rPr>
              <w:t>信号控制系统解析</w:t>
            </w:r>
          </w:p>
          <w:p>
            <w:pPr>
              <w:spacing w:before="62" w:line="240" w:lineRule="auto"/>
              <w:ind w:firstLine="432"/>
              <w:rPr>
                <w:rFonts w:hint="eastAsia" w:ascii="宋体" w:hAnsi="宋体" w:eastAsia="宋体" w:cs="宋体"/>
                <w:sz w:val="24"/>
                <w:szCs w:val="24"/>
              </w:rPr>
            </w:pPr>
            <w:r>
              <w:rPr>
                <w:rFonts w:hint="eastAsia" w:ascii="宋体" w:hAnsi="宋体" w:eastAsia="宋体" w:cs="宋体"/>
                <w:spacing w:val="-3"/>
                <w:position w:val="10"/>
                <w:sz w:val="24"/>
                <w:szCs w:val="24"/>
              </w:rPr>
              <w:t>卡口测速系统解析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9" w:hRule="atLeast"/>
        </w:trPr>
        <w:tc>
          <w:tcPr>
            <w:tcW w:w="2126" w:type="dxa"/>
            <w:vAlign w:val="top"/>
          </w:tcPr>
          <w:p>
            <w:pPr>
              <w:spacing w:line="240" w:lineRule="auto"/>
              <w:jc w:val="center"/>
              <w:rPr>
                <w:rFonts w:hint="eastAsia" w:ascii="宋体" w:hAnsi="宋体" w:eastAsia="宋体" w:cs="宋体"/>
                <w:sz w:val="24"/>
                <w:szCs w:val="24"/>
              </w:rPr>
            </w:pPr>
          </w:p>
          <w:p>
            <w:pPr>
              <w:spacing w:line="240" w:lineRule="auto"/>
              <w:jc w:val="center"/>
              <w:rPr>
                <w:rFonts w:hint="eastAsia" w:ascii="宋体" w:hAnsi="宋体" w:eastAsia="宋体" w:cs="宋体"/>
                <w:sz w:val="24"/>
                <w:szCs w:val="24"/>
              </w:rPr>
            </w:pPr>
          </w:p>
          <w:p>
            <w:pPr>
              <w:spacing w:line="240" w:lineRule="auto"/>
              <w:jc w:val="center"/>
              <w:rPr>
                <w:rFonts w:hint="eastAsia" w:ascii="宋体" w:hAnsi="宋体" w:eastAsia="宋体" w:cs="宋体"/>
                <w:sz w:val="24"/>
                <w:szCs w:val="24"/>
              </w:rPr>
            </w:pPr>
          </w:p>
          <w:p>
            <w:pPr>
              <w:spacing w:before="68" w:line="240" w:lineRule="auto"/>
              <w:ind w:left="11" w:firstLine="4"/>
              <w:jc w:val="center"/>
              <w:rPr>
                <w:rFonts w:hint="eastAsia" w:ascii="宋体" w:hAnsi="宋体" w:eastAsia="宋体" w:cs="宋体"/>
                <w:sz w:val="24"/>
                <w:szCs w:val="24"/>
              </w:rPr>
            </w:pPr>
            <w:r>
              <w:rPr>
                <w:rFonts w:hint="eastAsia" w:ascii="宋体" w:hAnsi="宋体" w:eastAsia="宋体" w:cs="宋体"/>
                <w:spacing w:val="-10"/>
                <w:w w:val="99"/>
                <w:sz w:val="24"/>
                <w:szCs w:val="24"/>
              </w:rPr>
              <w:t>2~3天（8个</w:t>
            </w:r>
            <w:r>
              <w:rPr>
                <w:rFonts w:hint="eastAsia" w:ascii="宋体" w:hAnsi="宋体" w:eastAsia="宋体" w:cs="宋体"/>
                <w:spacing w:val="-6"/>
                <w:sz w:val="24"/>
                <w:szCs w:val="24"/>
              </w:rPr>
              <w:t>课时）</w:t>
            </w:r>
          </w:p>
        </w:tc>
        <w:tc>
          <w:tcPr>
            <w:tcW w:w="6190" w:type="dxa"/>
            <w:vAlign w:val="top"/>
          </w:tcPr>
          <w:p>
            <w:pPr>
              <w:spacing w:before="69" w:line="240" w:lineRule="auto"/>
              <w:ind w:firstLine="8"/>
              <w:rPr>
                <w:rFonts w:hint="eastAsia" w:ascii="宋体" w:hAnsi="宋体" w:eastAsia="宋体" w:cs="宋体"/>
                <w:sz w:val="24"/>
                <w:szCs w:val="24"/>
              </w:rPr>
            </w:pPr>
            <w:r>
              <w:rPr>
                <w:rFonts w:hint="eastAsia" w:ascii="宋体" w:hAnsi="宋体" w:eastAsia="宋体" w:cs="宋体"/>
                <w:spacing w:val="-6"/>
                <w:sz w:val="24"/>
                <w:szCs w:val="24"/>
              </w:rPr>
              <w:t>第二部分：</w:t>
            </w:r>
          </w:p>
          <w:p>
            <w:pPr>
              <w:spacing w:before="62" w:line="240" w:lineRule="auto"/>
              <w:ind w:firstLine="432"/>
              <w:rPr>
                <w:rFonts w:hint="eastAsia" w:ascii="宋体" w:hAnsi="宋体" w:eastAsia="宋体" w:cs="宋体"/>
                <w:spacing w:val="-3"/>
                <w:position w:val="10"/>
                <w:sz w:val="24"/>
                <w:szCs w:val="24"/>
              </w:rPr>
            </w:pPr>
            <w:r>
              <w:rPr>
                <w:rFonts w:hint="eastAsia" w:ascii="宋体" w:hAnsi="宋体" w:eastAsia="宋体" w:cs="宋体"/>
                <w:spacing w:val="-3"/>
                <w:position w:val="10"/>
                <w:sz w:val="24"/>
                <w:szCs w:val="24"/>
              </w:rPr>
              <w:t>指挥中心分析研判系统功能使用讲解加实操</w:t>
            </w:r>
          </w:p>
          <w:p>
            <w:pPr>
              <w:spacing w:before="62" w:line="240" w:lineRule="auto"/>
              <w:ind w:firstLine="432"/>
              <w:rPr>
                <w:rFonts w:hint="eastAsia" w:ascii="宋体" w:hAnsi="宋体" w:eastAsia="宋体" w:cs="宋体"/>
                <w:sz w:val="24"/>
                <w:szCs w:val="24"/>
              </w:rPr>
            </w:pPr>
            <w:r>
              <w:rPr>
                <w:rFonts w:hint="eastAsia" w:ascii="宋体" w:hAnsi="宋体" w:eastAsia="宋体" w:cs="宋体"/>
                <w:spacing w:val="-3"/>
                <w:position w:val="10"/>
                <w:sz w:val="24"/>
                <w:szCs w:val="24"/>
              </w:rPr>
              <w:t>系统登录操作讲解、中心机房设备日常操作培训及操作手册的讲解 设备日常维护手册讲解、系统使用应急实战演练讲解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trPr>
        <w:tc>
          <w:tcPr>
            <w:tcW w:w="2126" w:type="dxa"/>
            <w:vAlign w:val="top"/>
          </w:tcPr>
          <w:p>
            <w:pPr>
              <w:spacing w:line="240" w:lineRule="auto"/>
              <w:jc w:val="center"/>
              <w:rPr>
                <w:rFonts w:hint="eastAsia" w:ascii="宋体" w:hAnsi="宋体" w:eastAsia="宋体" w:cs="宋体"/>
                <w:sz w:val="24"/>
                <w:szCs w:val="24"/>
              </w:rPr>
            </w:pPr>
          </w:p>
          <w:p>
            <w:pPr>
              <w:spacing w:before="69" w:line="240" w:lineRule="auto"/>
              <w:ind w:firstLine="264"/>
              <w:jc w:val="center"/>
              <w:rPr>
                <w:rFonts w:hint="eastAsia" w:ascii="宋体" w:hAnsi="宋体" w:eastAsia="宋体" w:cs="宋体"/>
                <w:sz w:val="24"/>
                <w:szCs w:val="24"/>
              </w:rPr>
            </w:pPr>
            <w:r>
              <w:rPr>
                <w:rFonts w:hint="eastAsia" w:ascii="宋体" w:hAnsi="宋体" w:eastAsia="宋体" w:cs="宋体"/>
                <w:spacing w:val="-5"/>
                <w:sz w:val="24"/>
                <w:szCs w:val="24"/>
              </w:rPr>
              <w:t>1~2天</w:t>
            </w:r>
            <w:r>
              <w:rPr>
                <w:rFonts w:hint="eastAsia" w:ascii="宋体" w:hAnsi="宋体" w:eastAsia="宋体" w:cs="宋体"/>
                <w:spacing w:val="-10"/>
                <w:w w:val="99"/>
                <w:sz w:val="24"/>
                <w:szCs w:val="24"/>
              </w:rPr>
              <w:t>（8个</w:t>
            </w:r>
            <w:r>
              <w:rPr>
                <w:rFonts w:hint="eastAsia" w:ascii="宋体" w:hAnsi="宋体" w:eastAsia="宋体" w:cs="宋体"/>
                <w:spacing w:val="-6"/>
                <w:sz w:val="24"/>
                <w:szCs w:val="24"/>
              </w:rPr>
              <w:t>课时）</w:t>
            </w:r>
          </w:p>
        </w:tc>
        <w:tc>
          <w:tcPr>
            <w:tcW w:w="6190" w:type="dxa"/>
            <w:vAlign w:val="top"/>
          </w:tcPr>
          <w:p>
            <w:pPr>
              <w:spacing w:before="104" w:line="240" w:lineRule="auto"/>
              <w:ind w:firstLine="8"/>
              <w:rPr>
                <w:rFonts w:hint="eastAsia" w:ascii="宋体" w:hAnsi="宋体" w:eastAsia="宋体" w:cs="宋体"/>
                <w:sz w:val="24"/>
                <w:szCs w:val="24"/>
              </w:rPr>
            </w:pPr>
            <w:r>
              <w:rPr>
                <w:rFonts w:hint="eastAsia" w:ascii="宋体" w:hAnsi="宋体" w:eastAsia="宋体" w:cs="宋体"/>
                <w:spacing w:val="-6"/>
                <w:sz w:val="24"/>
                <w:szCs w:val="24"/>
              </w:rPr>
              <w:t>第三部分：</w:t>
            </w:r>
          </w:p>
          <w:p>
            <w:pPr>
              <w:spacing w:before="62" w:line="240" w:lineRule="auto"/>
              <w:ind w:firstLine="432"/>
              <w:rPr>
                <w:rFonts w:hint="eastAsia" w:ascii="宋体" w:hAnsi="宋体" w:eastAsia="宋体" w:cs="宋体"/>
                <w:sz w:val="24"/>
                <w:szCs w:val="24"/>
              </w:rPr>
            </w:pPr>
            <w:r>
              <w:rPr>
                <w:rFonts w:hint="eastAsia" w:ascii="宋体" w:hAnsi="宋体" w:eastAsia="宋体" w:cs="宋体"/>
                <w:spacing w:val="-3"/>
                <w:position w:val="10"/>
                <w:sz w:val="24"/>
                <w:szCs w:val="24"/>
              </w:rPr>
              <w:t>主要设备日常维护和实操，日常故障恢复方案讲解、故障申诉途径讲解</w:t>
            </w:r>
          </w:p>
        </w:tc>
      </w:tr>
    </w:tbl>
    <w:p>
      <w:pPr>
        <w:pStyle w:val="3"/>
        <w:rPr>
          <w:rFonts w:hint="eastAsia" w:ascii="宋体" w:hAnsi="宋体" w:eastAsia="宋体" w:cs="宋体"/>
          <w:bCs w:val="0"/>
          <w:color w:val="000000"/>
          <w:sz w:val="24"/>
          <w:szCs w:val="24"/>
          <w:lang w:val="en-US" w:eastAsia="zh-CN"/>
        </w:rPr>
      </w:pPr>
      <w:bookmarkStart w:id="526" w:name="_Toc7796"/>
      <w:r>
        <w:rPr>
          <w:rFonts w:hint="eastAsia" w:ascii="宋体" w:hAnsi="宋体" w:eastAsia="宋体" w:cs="宋体"/>
          <w:bCs w:val="0"/>
          <w:color w:val="000000"/>
          <w:sz w:val="24"/>
          <w:szCs w:val="24"/>
          <w:lang w:val="en-US" w:eastAsia="zh-CN"/>
        </w:rPr>
        <w:t>3.2.4 人员培训计划及师资配备</w:t>
      </w:r>
      <w:bookmarkEnd w:id="526"/>
    </w:p>
    <w:p>
      <w:pPr>
        <w:numPr>
          <w:ilvl w:val="0"/>
          <w:numId w:val="130"/>
        </w:numPr>
        <w:tabs>
          <w:tab w:val="left" w:pos="1050"/>
          <w:tab w:val="clear" w:pos="1320"/>
        </w:tabs>
        <w:spacing w:line="360" w:lineRule="auto"/>
        <w:ind w:left="1050" w:hanging="525"/>
        <w:rPr>
          <w:rFonts w:hint="eastAsia" w:ascii="宋体" w:hAnsi="宋体" w:cs="Arial"/>
          <w:b/>
          <w:bCs/>
          <w:color w:val="000000"/>
          <w:sz w:val="24"/>
          <w:lang w:val="en-US" w:eastAsia="zh-CN"/>
        </w:rPr>
      </w:pPr>
      <w:r>
        <w:rPr>
          <w:rFonts w:hint="eastAsia" w:ascii="宋体" w:hAnsi="宋体" w:cs="Arial"/>
          <w:b/>
          <w:bCs/>
          <w:color w:val="000000"/>
          <w:sz w:val="24"/>
        </w:rPr>
        <w:t>培训内容及计划</w:t>
      </w:r>
    </w:p>
    <w:p>
      <w:pPr>
        <w:spacing w:line="119" w:lineRule="exact"/>
      </w:pPr>
    </w:p>
    <w:p>
      <w:pPr>
        <w:numPr>
          <w:ilvl w:val="0"/>
          <w:numId w:val="0"/>
        </w:numPr>
        <w:tabs>
          <w:tab w:val="left" w:pos="1050"/>
        </w:tabs>
        <w:spacing w:line="360" w:lineRule="auto"/>
        <w:rPr>
          <w:rFonts w:ascii="宋体" w:hAnsi="宋体" w:eastAsia="宋体" w:cs="宋体"/>
          <w:spacing w:val="-2"/>
          <w:sz w:val="24"/>
          <w:szCs w:val="24"/>
        </w:rPr>
      </w:pPr>
    </w:p>
    <w:p>
      <w:pPr>
        <w:numPr>
          <w:ilvl w:val="0"/>
          <w:numId w:val="130"/>
        </w:numPr>
        <w:tabs>
          <w:tab w:val="left" w:pos="1050"/>
          <w:tab w:val="clear" w:pos="1320"/>
        </w:tabs>
        <w:spacing w:line="360" w:lineRule="auto"/>
        <w:ind w:left="1050" w:hanging="525"/>
        <w:rPr>
          <w:rFonts w:hint="eastAsia" w:ascii="宋体" w:hAnsi="宋体" w:cs="Arial"/>
          <w:b/>
          <w:bCs/>
          <w:color w:val="000000"/>
          <w:sz w:val="24"/>
        </w:rPr>
      </w:pPr>
      <w:r>
        <w:rPr>
          <w:rFonts w:hint="eastAsia" w:ascii="宋体" w:hAnsi="宋体" w:cs="Arial"/>
          <w:b/>
          <w:bCs/>
          <w:color w:val="000000"/>
          <w:sz w:val="24"/>
        </w:rPr>
        <w:t>系统使用人员培训计划及培训师资安排</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由于此次涉及到的系统使用人员比较多，涉及到交警工作人员、技术人员、领导等,角色纷繁。因此在实施培训阶段，我们将采用按不同对象分步式开展培训，对系统涉及到的各类使用人员全面展开实施培训工作。</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第一步： 根据系统各项功能要求，组织对所有相关用户分类开展大课集中培训、机房上 机培训、以及点对点培训，让各类用户了解系统的基本操作。</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第二步：组织对系统中不同的角色进行分角色培训，不同角色操作系统的界面和功能各不相同，针对角色的培训方便对系统操作的掌握。</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第三步：针对具体业务使用人员数量庞大及范围较广的情况， 我们采用定期与不定期方式组织培训工作；对于其他未能参加集中培训的人员， 我们将整理相应的资料放在网站上供下载学习。</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培训方式：大课培训</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培训时间：3 天</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日程安排：待定，每天的培训时间与交警办公室上下班时间一致。</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培训人数及师资安排：大课培训一般是使用人员 20-30 人，我公司同时派出培训师资2-3名。</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培训地点：用户指定地点。</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培训资料：操作手册等。（均由我公司免费提供）</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培训要求：</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了解系统基本组成及原理；</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熟练掌握操作步骤、一般故障及排除；</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熟练掌握软件操作技能。</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具体做法： 由项目组把培训人员的培训内容落实到每个实施人员， 同时将每天的培训安 排计划上报给实施部经理，由实施部经理统一调度， 统一编制培训教材，对培训人员、培训时间的安排进行总调度，同时培训将根据实际情况进行协调，确保各培训点的培训正常开展。</w:t>
      </w:r>
    </w:p>
    <w:p>
      <w:pPr>
        <w:numPr>
          <w:ilvl w:val="0"/>
          <w:numId w:val="130"/>
        </w:numPr>
        <w:tabs>
          <w:tab w:val="left" w:pos="1050"/>
          <w:tab w:val="clear" w:pos="1320"/>
        </w:tabs>
        <w:spacing w:line="360" w:lineRule="auto"/>
        <w:ind w:left="1050" w:hanging="525"/>
        <w:rPr>
          <w:rFonts w:hint="eastAsia" w:ascii="宋体" w:hAnsi="宋体" w:cs="Arial"/>
          <w:b/>
          <w:bCs/>
          <w:color w:val="000000"/>
          <w:sz w:val="24"/>
        </w:rPr>
      </w:pPr>
      <w:r>
        <w:rPr>
          <w:rFonts w:hint="eastAsia" w:ascii="宋体" w:hAnsi="宋体" w:cs="Arial"/>
          <w:b/>
          <w:bCs/>
          <w:color w:val="000000"/>
          <w:sz w:val="24"/>
        </w:rPr>
        <w:t>系统管理员培训</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为了使系统管理员能对系统安装、应用及维护和故障的处理有全面的了解和认识，我们将根据项目实施的各阶段系统管理员安排有针对性的培训，包括两个方面的培训：应用软件系统培训。</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培训方式：点对点培训</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培训时间： 2天</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培训人数：使用人员1名，培训师资1名</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日程安排：待定，每天的培训时间与客户上下班时间一致。</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培训地址： 培训地址建议安排在系统部署的机房， 便于受培训人员参加培训和实际演示。</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培训资料：操作手册、系统设计方案、技术文档、系统部署手册等。（均由我公司免费提供）</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掌握内容：</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熟悉整个系统结构、系统的配置；</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熟练掌握系统基本组成及原理；</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熟练掌握系统的操作与运行管理；</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熟练掌握权限、用户配置等系统管理；</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熟练掌握系统的安装、检测、维护；</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熟练掌握排除故障的基本技术。</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掌握内容：要求能达到维护系统正常运行的要求。</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系统应用软件：对系统的基本操作、维护培训，系统常见故障的排除， 日常维护任务和工作方法。</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业务系统维护培训：系统各类用户管理、权限分配、数据管理等内容。</w:t>
      </w:r>
    </w:p>
    <w:p>
      <w:pPr>
        <w:numPr>
          <w:ilvl w:val="0"/>
          <w:numId w:val="130"/>
        </w:numPr>
        <w:tabs>
          <w:tab w:val="left" w:pos="1050"/>
          <w:tab w:val="clear" w:pos="1320"/>
        </w:tabs>
        <w:spacing w:line="360" w:lineRule="auto"/>
        <w:ind w:left="1050" w:hanging="525"/>
        <w:rPr>
          <w:rFonts w:hint="eastAsia" w:ascii="宋体" w:hAnsi="宋体" w:cs="Arial"/>
          <w:b/>
          <w:bCs/>
          <w:color w:val="000000"/>
          <w:sz w:val="24"/>
        </w:rPr>
      </w:pPr>
      <w:r>
        <w:rPr>
          <w:rFonts w:hint="eastAsia" w:ascii="宋体" w:hAnsi="宋体" w:cs="Arial"/>
          <w:b/>
          <w:bCs/>
          <w:color w:val="000000"/>
          <w:sz w:val="24"/>
        </w:rPr>
        <w:t>相关领导培训</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领导的培训工作是比较重要的环节，关系到整个项目实施的成功与否。考虑到领导工作相对比较忙，我们在软件上相对操作就比较简单，只要用鼠标点击，就能完成所有操作。一般情况下根据领导的一周工作安排，进行相应的培训工作。</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培训方式：点对点培训</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培训时间： 2 个小时</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日程安排：待定，每天的培训时间与交警上下班时间一致。</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培训人数：领导1名，培训师资1名</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培训地址：建议所有领导培训安排在领导办公室并严格控制培训时间。</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培训资料：操作手册等。（均由我公司免费提供）</w:t>
      </w:r>
    </w:p>
    <w:p>
      <w:pPr>
        <w:spacing w:line="360" w:lineRule="auto"/>
        <w:ind w:left="680" w:leftChars="200" w:firstLine="480" w:firstLineChars="200"/>
        <w:rPr>
          <w:rFonts w:ascii="宋体" w:hAnsi="宋体" w:cs="Arial"/>
          <w:color w:val="000000"/>
          <w:sz w:val="24"/>
        </w:rPr>
      </w:pPr>
      <w:r>
        <w:rPr>
          <w:rFonts w:ascii="宋体" w:hAnsi="宋体" w:cs="Arial"/>
          <w:color w:val="000000"/>
          <w:sz w:val="24"/>
        </w:rPr>
        <w:t>掌握内容：了解系统及基本操作，能对自己关心的信息进行查询等。</w:t>
      </w:r>
    </w:p>
    <w:p>
      <w:pPr>
        <w:pStyle w:val="3"/>
        <w:rPr>
          <w:rFonts w:hint="eastAsia" w:ascii="宋体" w:hAnsi="宋体" w:eastAsia="宋体" w:cs="宋体"/>
          <w:bCs w:val="0"/>
          <w:color w:val="000000"/>
          <w:sz w:val="24"/>
          <w:szCs w:val="24"/>
          <w:lang w:val="en-US" w:eastAsia="zh-CN"/>
        </w:rPr>
      </w:pPr>
      <w:bookmarkStart w:id="527" w:name="_Toc30637"/>
      <w:r>
        <w:rPr>
          <w:rFonts w:hint="eastAsia" w:ascii="宋体" w:hAnsi="宋体" w:eastAsia="宋体" w:cs="宋体"/>
          <w:bCs w:val="0"/>
          <w:color w:val="000000"/>
          <w:sz w:val="24"/>
          <w:szCs w:val="24"/>
          <w:lang w:val="en-US" w:eastAsia="zh-CN"/>
        </w:rPr>
        <w:t>3.2.5 培训总结、答疑</w:t>
      </w:r>
      <w:bookmarkEnd w:id="527"/>
    </w:p>
    <w:p>
      <w:pPr>
        <w:spacing w:line="360" w:lineRule="auto"/>
        <w:ind w:firstLine="480" w:firstLineChars="200"/>
        <w:rPr>
          <w:rFonts w:ascii="宋体" w:hAnsi="宋体" w:cs="Arial"/>
          <w:color w:val="000000"/>
          <w:sz w:val="24"/>
        </w:rPr>
      </w:pPr>
      <w:r>
        <w:rPr>
          <w:rFonts w:ascii="宋体" w:hAnsi="宋体" w:cs="Arial"/>
          <w:color w:val="000000"/>
          <w:sz w:val="24"/>
        </w:rPr>
        <w:t>全体人员培训结束后，会有一个过渡适应期，在这个过程中 一般用户在使用过程中会发现一些问题，提出一些修改意见，我们公司会再次组织大课培训，这次培训主要以答疑、 解决问题的形式出现， 解决用户在实际使用过程中发现的问题， 通过这次答疑培训，使全体人员真正全面的掌握系统的使用，这将为该项目的成功实施提供了保证。</w:t>
      </w:r>
    </w:p>
    <w:p>
      <w:pPr>
        <w:pStyle w:val="3"/>
        <w:rPr>
          <w:rFonts w:hint="eastAsia" w:ascii="宋体" w:hAnsi="宋体" w:eastAsia="宋体" w:cs="宋体"/>
          <w:bCs w:val="0"/>
          <w:color w:val="000000"/>
          <w:sz w:val="24"/>
          <w:szCs w:val="24"/>
          <w:lang w:val="en-US" w:eastAsia="zh-CN"/>
        </w:rPr>
      </w:pPr>
      <w:bookmarkStart w:id="528" w:name="_Toc30916"/>
      <w:r>
        <w:rPr>
          <w:rFonts w:hint="eastAsia" w:ascii="宋体" w:hAnsi="宋体" w:eastAsia="宋体" w:cs="宋体"/>
          <w:bCs w:val="0"/>
          <w:color w:val="000000"/>
          <w:sz w:val="24"/>
          <w:szCs w:val="24"/>
          <w:lang w:val="en-US" w:eastAsia="zh-CN"/>
        </w:rPr>
        <w:t>3.2.6 培训质量控制计划</w:t>
      </w:r>
      <w:bookmarkEnd w:id="528"/>
    </w:p>
    <w:p>
      <w:pPr>
        <w:spacing w:line="360" w:lineRule="auto"/>
        <w:ind w:firstLine="480" w:firstLineChars="200"/>
        <w:rPr>
          <w:rFonts w:ascii="宋体" w:hAnsi="宋体" w:cs="Arial"/>
          <w:color w:val="000000"/>
          <w:sz w:val="24"/>
        </w:rPr>
      </w:pPr>
      <w:r>
        <w:rPr>
          <w:rFonts w:ascii="宋体" w:hAnsi="宋体" w:cs="Arial"/>
          <w:color w:val="000000"/>
          <w:sz w:val="24"/>
        </w:rPr>
        <w:t>我公司将采取各种措施确保本次项目培训的质量：</w:t>
      </w:r>
    </w:p>
    <w:p>
      <w:pPr>
        <w:spacing w:line="360" w:lineRule="auto"/>
        <w:ind w:firstLine="480" w:firstLineChars="200"/>
        <w:rPr>
          <w:rFonts w:ascii="宋体" w:hAnsi="宋体" w:cs="Arial"/>
          <w:color w:val="000000"/>
          <w:sz w:val="24"/>
        </w:rPr>
      </w:pPr>
      <w:r>
        <w:rPr>
          <w:rFonts w:ascii="宋体" w:hAnsi="宋体" w:cs="Arial"/>
          <w:color w:val="000000"/>
          <w:sz w:val="24"/>
        </w:rPr>
        <w:t>措施1：</w:t>
      </w:r>
    </w:p>
    <w:p>
      <w:pPr>
        <w:spacing w:line="360" w:lineRule="auto"/>
        <w:ind w:firstLine="480" w:firstLineChars="200"/>
        <w:rPr>
          <w:rFonts w:ascii="宋体" w:hAnsi="宋体" w:cs="Arial"/>
          <w:color w:val="000000"/>
          <w:sz w:val="24"/>
        </w:rPr>
      </w:pPr>
      <w:r>
        <w:rPr>
          <w:rFonts w:ascii="宋体" w:hAnsi="宋体" w:cs="Arial"/>
          <w:color w:val="000000"/>
          <w:sz w:val="24"/>
        </w:rPr>
        <w:t>我公司提供的系统功能清晰，操作简便。如果经过正常的培训，系统使用人员不能达到培训目标，我们将对不能达到培训目标的使用人员采取点对点的培训方式，进行强化培训，直到该使用人员完全掌握培训的内容。</w:t>
      </w:r>
    </w:p>
    <w:p>
      <w:pPr>
        <w:spacing w:line="360" w:lineRule="auto"/>
        <w:ind w:firstLine="480" w:firstLineChars="200"/>
        <w:rPr>
          <w:rFonts w:ascii="宋体" w:hAnsi="宋体" w:cs="Arial"/>
          <w:color w:val="000000"/>
          <w:sz w:val="24"/>
        </w:rPr>
      </w:pPr>
      <w:r>
        <w:rPr>
          <w:rFonts w:ascii="宋体" w:hAnsi="宋体" w:cs="Arial"/>
          <w:color w:val="000000"/>
          <w:sz w:val="24"/>
        </w:rPr>
        <w:t>措施2：</w:t>
      </w:r>
    </w:p>
    <w:p>
      <w:pPr>
        <w:spacing w:line="360" w:lineRule="auto"/>
        <w:ind w:firstLine="480" w:firstLineChars="200"/>
        <w:rPr>
          <w:rFonts w:ascii="宋体" w:hAnsi="宋体" w:cs="Arial"/>
          <w:color w:val="000000"/>
          <w:sz w:val="24"/>
        </w:rPr>
      </w:pPr>
      <w:r>
        <w:rPr>
          <w:rFonts w:ascii="宋体" w:hAnsi="宋体" w:cs="Arial"/>
          <w:color w:val="000000"/>
          <w:sz w:val="24"/>
        </w:rPr>
        <w:t>在全面实施培训过程中，将对培训人员的测试考核作为一个重要工作内容， 考核通过作为使用人员是否胜任当前工作的必要条件，提高使用人员的掌握系统操作的积极性和紧迫感，确保人人掌握。</w:t>
      </w:r>
    </w:p>
    <w:p>
      <w:pPr>
        <w:spacing w:line="360" w:lineRule="auto"/>
        <w:ind w:firstLine="480" w:firstLineChars="200"/>
        <w:rPr>
          <w:rFonts w:ascii="宋体" w:hAnsi="宋体" w:cs="Arial"/>
          <w:color w:val="000000"/>
          <w:sz w:val="24"/>
        </w:rPr>
      </w:pPr>
      <w:r>
        <w:rPr>
          <w:rFonts w:ascii="宋体" w:hAnsi="宋体" w:cs="Arial"/>
          <w:color w:val="000000"/>
          <w:sz w:val="24"/>
        </w:rPr>
        <w:t>措施3：</w:t>
      </w:r>
    </w:p>
    <w:p>
      <w:pPr>
        <w:spacing w:line="360" w:lineRule="auto"/>
        <w:ind w:firstLine="480" w:firstLineChars="200"/>
        <w:rPr>
          <w:rFonts w:ascii="宋体" w:hAnsi="宋体" w:cs="Arial"/>
          <w:color w:val="000000"/>
          <w:sz w:val="24"/>
        </w:rPr>
      </w:pPr>
      <w:r>
        <w:rPr>
          <w:rFonts w:ascii="宋体" w:hAnsi="宋体" w:cs="Arial"/>
          <w:color w:val="000000"/>
          <w:sz w:val="24"/>
        </w:rPr>
        <w:t>所有培训将统一组织一次，如若用户有需求，后期双方可协商再次组织针对性的培训。</w:t>
      </w:r>
    </w:p>
    <w:p>
      <w:pPr>
        <w:spacing w:line="360" w:lineRule="auto"/>
        <w:ind w:firstLine="480" w:firstLineChars="200"/>
        <w:rPr>
          <w:rFonts w:ascii="宋体" w:hAnsi="宋体" w:cs="Arial"/>
          <w:color w:val="000000"/>
          <w:sz w:val="24"/>
        </w:rPr>
      </w:pPr>
      <w:r>
        <w:rPr>
          <w:rFonts w:ascii="宋体" w:hAnsi="宋体" w:cs="Arial"/>
          <w:color w:val="000000"/>
          <w:sz w:val="24"/>
        </w:rPr>
        <w:t>自系统安装调试完成后将进行前期培训，相关人员收到培训通知当日起，所有参训员工均应合理安排工作及私人事务，确保准时出勤；培训期间所有员工上课均应维护本项目员工形象标准，并自觉遵守培训课堂纪律的各项规章制度。</w:t>
      </w:r>
    </w:p>
    <w:p>
      <w:pPr>
        <w:spacing w:line="360" w:lineRule="auto"/>
        <w:ind w:firstLine="480" w:firstLineChars="200"/>
        <w:rPr>
          <w:rFonts w:ascii="宋体" w:hAnsi="宋体" w:cs="Arial"/>
          <w:color w:val="000000"/>
          <w:sz w:val="24"/>
        </w:rPr>
      </w:pPr>
      <w:r>
        <w:rPr>
          <w:rFonts w:ascii="宋体" w:hAnsi="宋体" w:cs="Arial"/>
          <w:color w:val="000000"/>
          <w:sz w:val="24"/>
        </w:rPr>
        <w:t>员工培训时，须在《培训记录表》上签到。学员迟到/早退视同上班迟到/早退。培训记录表由培训组存档备查。员工如因特别公务或其它紧急事宜确实不能参加培训的，须填写《参训员工请假单》，经主管人员审批后，于开课前一天交培训组备查。因特殊情况不能于一天前请假者，必须及时向培训组申明原因， 并补办培训请假手续。员工于同一课程内因事临时离开，即应办理请假手续，并补修该课程。若缺勤课时累计超过该课程总课时数/者，需重新补修全部课程。</w:t>
      </w:r>
    </w:p>
    <w:p>
      <w:pPr>
        <w:spacing w:line="360" w:lineRule="auto"/>
        <w:ind w:firstLine="480" w:firstLineChars="200"/>
        <w:rPr>
          <w:rFonts w:ascii="宋体" w:hAnsi="宋体" w:cs="Arial"/>
          <w:color w:val="000000"/>
          <w:sz w:val="24"/>
        </w:rPr>
      </w:pPr>
      <w:r>
        <w:rPr>
          <w:rFonts w:ascii="宋体" w:hAnsi="宋体" w:cs="Arial"/>
          <w:color w:val="000000"/>
          <w:sz w:val="24"/>
        </w:rPr>
        <w:t>员工参训期间，未向培训组请假或请假未经批准而未参加培训，其培训缺勤课时以旷课论处；</w:t>
      </w:r>
    </w:p>
    <w:p>
      <w:pPr>
        <w:spacing w:line="360" w:lineRule="auto"/>
        <w:ind w:firstLine="472" w:firstLineChars="200"/>
        <w:rPr>
          <w:rFonts w:ascii="宋体" w:hAnsi="宋体" w:cs="Arial"/>
          <w:color w:val="000000"/>
          <w:sz w:val="24"/>
        </w:rPr>
      </w:pPr>
      <w:r>
        <w:rPr>
          <w:rFonts w:ascii="宋体" w:hAnsi="宋体" w:eastAsia="宋体" w:cs="宋体"/>
          <w:spacing w:val="-2"/>
          <w:sz w:val="24"/>
          <w:szCs w:val="24"/>
        </w:rPr>
        <w:t>专业培训若涉及实际操作，员工须严格按照安全操作规范执行。</w:t>
      </w:r>
    </w:p>
    <w:p>
      <w:pPr>
        <w:pStyle w:val="3"/>
        <w:rPr>
          <w:rFonts w:hint="eastAsia" w:ascii="宋体" w:hAnsi="宋体" w:eastAsia="宋体" w:cs="宋体"/>
          <w:bCs w:val="0"/>
          <w:color w:val="000000"/>
          <w:sz w:val="24"/>
          <w:szCs w:val="24"/>
          <w:lang w:val="en-US" w:eastAsia="zh-CN"/>
        </w:rPr>
      </w:pPr>
      <w:bookmarkStart w:id="529" w:name="_Toc20971"/>
      <w:r>
        <w:rPr>
          <w:rFonts w:hint="eastAsia" w:ascii="宋体" w:hAnsi="宋体" w:eastAsia="宋体" w:cs="宋体"/>
          <w:bCs w:val="0"/>
          <w:color w:val="000000"/>
          <w:sz w:val="24"/>
          <w:szCs w:val="24"/>
          <w:lang w:val="en-US" w:eastAsia="zh-CN"/>
        </w:rPr>
        <w:t>3.2.7 常态化培训与考核</w:t>
      </w:r>
      <w:bookmarkEnd w:id="529"/>
    </w:p>
    <w:p>
      <w:pPr>
        <w:spacing w:line="360" w:lineRule="auto"/>
        <w:ind w:firstLine="472" w:firstLineChars="200"/>
        <w:rPr>
          <w:rFonts w:ascii="宋体" w:hAnsi="宋体" w:eastAsia="宋体" w:cs="宋体"/>
          <w:spacing w:val="-2"/>
          <w:sz w:val="24"/>
          <w:szCs w:val="24"/>
        </w:rPr>
      </w:pPr>
      <w:r>
        <w:rPr>
          <w:rFonts w:ascii="宋体" w:hAnsi="宋体" w:eastAsia="宋体" w:cs="宋体"/>
          <w:spacing w:val="-2"/>
          <w:sz w:val="24"/>
          <w:szCs w:val="24"/>
        </w:rPr>
        <w:t>项目建设完成交付以后，在日常的运营管理过程中，我公司会建立常态的培训和考核机制，结合以上整体的培训方案实施培训，包括但不限于对新增人员的技能培训、对所有业务人员的技能提升培训、对新业务的培训等，根据呼叫中心运营的特点，定期对业务人员进行技能等考核，以有效保障人员素质，提升服务水平和质量。</w:t>
      </w:r>
    </w:p>
    <w:p>
      <w:pPr>
        <w:pStyle w:val="2"/>
        <w:numPr>
          <w:ilvl w:val="0"/>
          <w:numId w:val="2"/>
        </w:numPr>
        <w:tabs>
          <w:tab w:val="left" w:pos="1800"/>
          <w:tab w:val="clear" w:pos="2175"/>
        </w:tabs>
        <w:ind w:left="1800" w:hanging="1800"/>
        <w:jc w:val="center"/>
        <w:rPr>
          <w:rFonts w:hint="eastAsia" w:cs="Arial"/>
          <w:bCs w:val="0"/>
          <w:color w:val="000000"/>
          <w:sz w:val="32"/>
          <w:szCs w:val="32"/>
        </w:rPr>
      </w:pPr>
      <w:r>
        <w:rPr>
          <w:rFonts w:cs="Arial"/>
          <w:color w:val="000000"/>
          <w:sz w:val="32"/>
          <w:szCs w:val="32"/>
        </w:rPr>
        <w:br w:type="page"/>
      </w:r>
      <w:bookmarkStart w:id="530" w:name="_Toc26910"/>
      <w:bookmarkStart w:id="531" w:name="_Toc93674479"/>
      <w:bookmarkStart w:id="532" w:name="_Toc15783"/>
      <w:bookmarkStart w:id="533" w:name="_Toc17023"/>
      <w:bookmarkStart w:id="534" w:name="_Toc24922"/>
      <w:bookmarkStart w:id="535" w:name="_Toc31951"/>
      <w:r>
        <w:rPr>
          <w:rFonts w:hint="eastAsia"/>
          <w:sz w:val="32"/>
          <w:szCs w:val="32"/>
        </w:rPr>
        <w:t>售后服务</w:t>
      </w:r>
      <w:bookmarkEnd w:id="530"/>
      <w:bookmarkEnd w:id="531"/>
      <w:bookmarkEnd w:id="532"/>
      <w:bookmarkEnd w:id="533"/>
      <w:bookmarkEnd w:id="534"/>
      <w:bookmarkEnd w:id="535"/>
    </w:p>
    <w:p>
      <w:pPr>
        <w:pStyle w:val="3"/>
        <w:numPr>
          <w:ilvl w:val="1"/>
          <w:numId w:val="2"/>
        </w:numPr>
        <w:rPr>
          <w:rFonts w:hint="eastAsia" w:ascii="宋体" w:hAnsi="宋体" w:eastAsia="宋体" w:cs="Arial"/>
          <w:bCs w:val="0"/>
          <w:color w:val="000000"/>
          <w:sz w:val="30"/>
          <w:szCs w:val="30"/>
        </w:rPr>
      </w:pPr>
      <w:bookmarkStart w:id="536" w:name="_Toc93674480"/>
      <w:bookmarkStart w:id="537" w:name="_Toc7632"/>
      <w:bookmarkStart w:id="538" w:name="_Toc31405"/>
      <w:bookmarkStart w:id="539" w:name="_Toc17522"/>
      <w:bookmarkStart w:id="540" w:name="_Toc2218"/>
      <w:bookmarkStart w:id="541" w:name="_Toc23939"/>
      <w:r>
        <w:rPr>
          <w:rFonts w:hint="eastAsia" w:ascii="宋体" w:hAnsi="宋体" w:eastAsia="宋体" w:cs="Arial"/>
          <w:color w:val="000000"/>
          <w:sz w:val="30"/>
          <w:szCs w:val="30"/>
        </w:rPr>
        <w:t>公司售后服务</w:t>
      </w:r>
      <w:bookmarkEnd w:id="536"/>
      <w:r>
        <w:rPr>
          <w:rFonts w:hint="eastAsia" w:ascii="宋体" w:hAnsi="宋体" w:eastAsia="宋体" w:cs="Arial"/>
          <w:color w:val="000000"/>
          <w:sz w:val="30"/>
          <w:szCs w:val="30"/>
        </w:rPr>
        <w:t>承诺</w:t>
      </w:r>
      <w:bookmarkEnd w:id="537"/>
      <w:bookmarkEnd w:id="538"/>
      <w:bookmarkEnd w:id="539"/>
      <w:bookmarkEnd w:id="540"/>
      <w:bookmarkEnd w:id="541"/>
    </w:p>
    <w:p>
      <w:pPr>
        <w:pStyle w:val="4"/>
        <w:numPr>
          <w:ilvl w:val="1"/>
          <w:numId w:val="131"/>
        </w:numPr>
        <w:rPr>
          <w:rFonts w:hint="eastAsia" w:ascii="宋体" w:hAnsi="宋体"/>
          <w:sz w:val="28"/>
          <w:szCs w:val="28"/>
        </w:rPr>
      </w:pPr>
      <w:bookmarkStart w:id="542" w:name="_Toc11051"/>
      <w:r>
        <w:rPr>
          <w:rFonts w:hint="eastAsia" w:hAnsi="宋体" w:cs="Arial"/>
          <w:bCs w:val="0"/>
          <w:color w:val="000000"/>
          <w:sz w:val="28"/>
          <w:szCs w:val="28"/>
          <w:lang w:val="en-US" w:eastAsia="zh-CN"/>
        </w:rPr>
        <w:t>售后服务承诺及响应</w:t>
      </w:r>
      <w:bookmarkEnd w:id="542"/>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本次投标我公司对本项目提供</w:t>
      </w:r>
      <w:r>
        <w:rPr>
          <w:rFonts w:ascii="宋体" w:hAnsi="宋体" w:cs="Arial"/>
          <w:b/>
          <w:bCs/>
          <w:color w:val="000000"/>
          <w:sz w:val="24"/>
        </w:rPr>
        <w:t>3年免费质保期</w:t>
      </w:r>
      <w:r>
        <w:rPr>
          <w:rFonts w:ascii="宋体" w:hAnsi="宋体" w:cs="Arial"/>
          <w:color w:val="000000"/>
          <w:sz w:val="24"/>
        </w:rPr>
        <w:t>，并承诺所投产品实行终身维护。同时保证提供的合同设备为全新、完整、未使用过的设备，并且保证其性能和质量与合同规定相符。卖方保证所提供的技术资料是完整、清晰和准确的， 且符合合同及附件的有关规定。</w:t>
      </w:r>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质保期内免费上门维修及维护并提供响应的技术支持及服务支持。在质保期内，我方周至分公司将拟派不少于15人的技术人员常驻周至项目所在地，用于对本次建设项目的技术保障和维修维护工作。为保障本项目的维护实效性， 周至分公司将根据前端点位分布情况，选择就近维护支局的专业技术人员，专人负责前端点位的维护工作，出现故障时的响应时间为15分钟， 到达现场时间30分钟，8小时内排除故障，并提供7×24小时专业技术人员的上门服务，确保设备安全、正常运行。</w:t>
      </w:r>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我公司在本投标文件中所描述的应标产品在陕西省内已建立直属销售和维修机构。</w:t>
      </w:r>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同时，我公司将成立项目运维工作小组。组长由公司运维部主管工程师担任。副组长由 开发部、实施部各相关部门技术骨干担任。成员单位由项目开发组成员， 项目实施组成员等组成。</w:t>
      </w:r>
    </w:p>
    <w:p>
      <w:pPr>
        <w:tabs>
          <w:tab w:val="left" w:pos="180"/>
        </w:tabs>
        <w:spacing w:line="360" w:lineRule="auto"/>
        <w:ind w:firstLine="480" w:firstLineChars="200"/>
        <w:rPr>
          <w:rFonts w:ascii="宋体" w:hAnsi="宋体" w:cs="Arial"/>
          <w:color w:val="000000"/>
          <w:sz w:val="24"/>
        </w:rPr>
      </w:pPr>
      <w:r>
        <w:rPr>
          <w:rFonts w:ascii="宋体" w:hAnsi="宋体" w:cs="Arial"/>
          <w:color w:val="000000"/>
          <w:sz w:val="24"/>
        </w:rPr>
        <w:t>小组的职责：负责系统运行维护管理工作；研究制定系统信息安全应急处置工作的规划、 计划和政策； 协调推进系统信息安全应急机制和工作体系建设； 指导协调各类应急工作组开 展对信息安全突发事件的应急响应与处置工作；对系统信息安全事件的响应作出正确的判断和决策等。</w:t>
      </w:r>
    </w:p>
    <w:p>
      <w:pPr>
        <w:pStyle w:val="4"/>
        <w:numPr>
          <w:ilvl w:val="1"/>
          <w:numId w:val="131"/>
        </w:numPr>
        <w:rPr>
          <w:rFonts w:hint="eastAsia" w:ascii="宋体" w:hAnsi="宋体"/>
          <w:sz w:val="28"/>
          <w:szCs w:val="28"/>
        </w:rPr>
      </w:pPr>
      <w:bookmarkStart w:id="543" w:name="_Toc9805"/>
      <w:r>
        <w:rPr>
          <w:rFonts w:hint="eastAsia" w:hAnsi="宋体" w:cs="Arial"/>
          <w:bCs w:val="0"/>
          <w:color w:val="000000"/>
          <w:sz w:val="28"/>
          <w:szCs w:val="28"/>
          <w:lang w:val="en-US" w:eastAsia="zh-CN"/>
        </w:rPr>
        <w:t>售后服务维护体系</w:t>
      </w:r>
      <w:bookmarkEnd w:id="543"/>
    </w:p>
    <w:p>
      <w:pPr>
        <w:spacing w:line="317" w:lineRule="auto"/>
        <w:rPr>
          <w:rFonts w:ascii="宋体"/>
          <w:sz w:val="21"/>
        </w:rPr>
      </w:pPr>
    </w:p>
    <w:p>
      <w:pPr>
        <w:spacing w:line="4574" w:lineRule="exact"/>
        <w:ind w:left="0" w:leftChars="0" w:firstLine="0" w:firstLineChars="0"/>
        <w:textAlignment w:val="center"/>
      </w:pPr>
      <w:r>
        <w:drawing>
          <wp:inline distT="0" distB="0" distL="0" distR="0">
            <wp:extent cx="5285105" cy="3487420"/>
            <wp:effectExtent l="0" t="0" r="10795" b="5080"/>
            <wp:docPr id="1400" name="IM 1400"/>
            <wp:cNvGraphicFramePr/>
            <a:graphic xmlns:a="http://schemas.openxmlformats.org/drawingml/2006/main">
              <a:graphicData uri="http://schemas.openxmlformats.org/drawingml/2006/picture">
                <pic:pic xmlns:pic="http://schemas.openxmlformats.org/drawingml/2006/picture">
                  <pic:nvPicPr>
                    <pic:cNvPr id="1400" name="IM 1400"/>
                    <pic:cNvPicPr/>
                  </pic:nvPicPr>
                  <pic:blipFill>
                    <a:blip r:embed="rId22"/>
                    <a:stretch>
                      <a:fillRect/>
                    </a:stretch>
                  </pic:blipFill>
                  <pic:spPr>
                    <a:xfrm>
                      <a:off x="0" y="0"/>
                      <a:ext cx="5285105" cy="3487420"/>
                    </a:xfrm>
                    <a:prstGeom prst="rect">
                      <a:avLst/>
                    </a:prstGeom>
                  </pic:spPr>
                </pic:pic>
              </a:graphicData>
            </a:graphic>
          </wp:inline>
        </w:drawing>
      </w:r>
    </w:p>
    <w:p>
      <w:pPr>
        <w:spacing w:before="190" w:line="185" w:lineRule="auto"/>
        <w:ind w:firstLine="5118"/>
        <w:rPr>
          <w:rFonts w:ascii="宋体" w:hAnsi="宋体" w:eastAsia="宋体" w:cs="宋体"/>
          <w:sz w:val="24"/>
          <w:szCs w:val="24"/>
        </w:rPr>
      </w:pPr>
      <w:r>
        <w:rPr>
          <w:rFonts w:ascii="宋体" w:hAnsi="宋体" w:eastAsia="宋体" w:cs="宋体"/>
          <w:spacing w:val="-3"/>
          <w:sz w:val="24"/>
          <w:szCs w:val="24"/>
        </w:rPr>
        <w:t>中国电信运维体系示意图</w:t>
      </w:r>
    </w:p>
    <w:p>
      <w:pPr>
        <w:pStyle w:val="4"/>
        <w:numPr>
          <w:ilvl w:val="1"/>
          <w:numId w:val="131"/>
        </w:numPr>
        <w:rPr>
          <w:rFonts w:hint="eastAsia" w:hAnsi="宋体" w:cs="Arial"/>
          <w:bCs w:val="0"/>
          <w:color w:val="000000"/>
          <w:sz w:val="28"/>
          <w:szCs w:val="28"/>
          <w:lang w:val="en-US" w:eastAsia="zh-CN"/>
        </w:rPr>
      </w:pPr>
      <w:bookmarkStart w:id="544" w:name="_bookmark310"/>
      <w:bookmarkEnd w:id="544"/>
      <w:bookmarkStart w:id="545" w:name="_Toc31066"/>
      <w:r>
        <w:rPr>
          <w:rFonts w:hint="eastAsia" w:hAnsi="宋体" w:cs="Arial"/>
          <w:bCs w:val="0"/>
          <w:color w:val="000000"/>
          <w:sz w:val="28"/>
          <w:szCs w:val="28"/>
          <w:lang w:val="en-US" w:eastAsia="zh-CN"/>
        </w:rPr>
        <w:t>市县镇三级本地化售后服务体系</w:t>
      </w:r>
      <w:bookmarkEnd w:id="545"/>
    </w:p>
    <w:p>
      <w:pPr>
        <w:spacing w:line="279" w:lineRule="auto"/>
        <w:rPr>
          <w:rFonts w:ascii="宋体"/>
          <w:sz w:val="21"/>
        </w:rPr>
      </w:pPr>
    </w:p>
    <w:p>
      <w:pPr>
        <w:tabs>
          <w:tab w:val="left" w:pos="180"/>
        </w:tabs>
        <w:spacing w:line="360" w:lineRule="auto"/>
        <w:ind w:firstLine="480" w:firstLineChars="200"/>
        <w:rPr>
          <w:rFonts w:ascii="宋体" w:hAnsi="宋体" w:cs="Arial"/>
          <w:color w:val="000000"/>
          <w:sz w:val="24"/>
        </w:rPr>
      </w:pPr>
      <w:r>
        <w:rPr>
          <w:rFonts w:hint="eastAsia" w:ascii="宋体" w:hAnsi="宋体" w:cs="Arial"/>
          <w:color w:val="000000"/>
          <w:sz w:val="24"/>
          <w:lang w:val="en-US" w:eastAsia="zh-CN"/>
        </w:rPr>
        <w:t>我公司</w:t>
      </w:r>
      <w:r>
        <w:rPr>
          <w:rFonts w:ascii="宋体" w:hAnsi="宋体" w:cs="Arial"/>
          <w:color w:val="000000"/>
          <w:sz w:val="24"/>
        </w:rPr>
        <w:t>拥有强大的售后运维体系，在全国各个省市设有分公司，保证为各地用户提供最便捷、最优质的售后服务。同时为保障本项目的顺利实施及实施后的售后服务，特成立周至等区县分公司售后服务团队，以保证本项目的顺利进行。</w:t>
      </w:r>
    </w:p>
    <w:p>
      <w:pPr>
        <w:tabs>
          <w:tab w:val="left" w:pos="180"/>
        </w:tabs>
        <w:spacing w:line="360" w:lineRule="auto"/>
        <w:ind w:firstLine="480" w:firstLineChars="200"/>
        <w:rPr>
          <w:rFonts w:hint="eastAsia" w:ascii="宋体" w:hAnsi="宋体" w:cs="Arial"/>
          <w:color w:val="000000"/>
          <w:sz w:val="24"/>
          <w:lang w:eastAsia="zh-CN"/>
        </w:rPr>
      </w:pPr>
      <w:r>
        <w:rPr>
          <w:rFonts w:ascii="宋体" w:hAnsi="宋体" w:cs="Arial"/>
          <w:color w:val="000000"/>
          <w:sz w:val="24"/>
        </w:rPr>
        <w:t>为保障本项目的维护实效性，周至分公司将根据前端点位分布情况，选择就近维护支局的专业技术人员，专人负责前端点位的维护工作</w:t>
      </w:r>
      <w:r>
        <w:rPr>
          <w:rFonts w:hint="eastAsia" w:ascii="宋体" w:hAnsi="宋体" w:cs="Arial"/>
          <w:color w:val="000000"/>
          <w:sz w:val="24"/>
          <w:lang w:eastAsia="zh-CN"/>
        </w:rPr>
        <w:t>。</w:t>
      </w:r>
    </w:p>
    <w:p>
      <w:pPr>
        <w:pStyle w:val="4"/>
        <w:numPr>
          <w:ilvl w:val="1"/>
          <w:numId w:val="131"/>
        </w:numPr>
        <w:rPr>
          <w:rFonts w:hint="eastAsia" w:hAnsi="宋体" w:cs="Arial"/>
          <w:bCs w:val="0"/>
          <w:color w:val="000000"/>
          <w:sz w:val="28"/>
          <w:szCs w:val="28"/>
          <w:lang w:val="en-US" w:eastAsia="zh-CN"/>
        </w:rPr>
      </w:pPr>
      <w:bookmarkStart w:id="546" w:name="_Toc20802"/>
      <w:r>
        <w:rPr>
          <w:rFonts w:hint="eastAsia" w:hAnsi="宋体" w:cs="Arial"/>
          <w:bCs w:val="0"/>
          <w:color w:val="000000"/>
          <w:sz w:val="28"/>
          <w:szCs w:val="28"/>
          <w:lang w:val="en-US" w:eastAsia="zh-CN"/>
        </w:rPr>
        <w:t>市级售后服务团队</w:t>
      </w:r>
      <w:bookmarkEnd w:id="546"/>
    </w:p>
    <w:p>
      <w:pPr>
        <w:tabs>
          <w:tab w:val="left" w:pos="180"/>
        </w:tabs>
        <w:spacing w:line="360" w:lineRule="auto"/>
        <w:ind w:firstLine="480" w:firstLineChars="200"/>
        <w:rPr>
          <w:rFonts w:hint="eastAsia" w:ascii="宋体" w:hAnsi="宋体" w:cs="Arial"/>
          <w:color w:val="000000"/>
          <w:sz w:val="24"/>
          <w:lang w:val="en-US" w:eastAsia="zh-CN"/>
        </w:rPr>
      </w:pPr>
      <w:r>
        <w:rPr>
          <w:rFonts w:hint="eastAsia" w:hAnsi="宋体" w:cs="Arial"/>
          <w:color w:val="000000"/>
          <w:sz w:val="24"/>
          <w:lang w:val="en-US" w:eastAsia="zh-CN"/>
        </w:rPr>
        <w:t>我公司</w:t>
      </w:r>
      <w:r>
        <w:rPr>
          <w:rFonts w:hint="eastAsia" w:ascii="宋体" w:hAnsi="宋体" w:cs="Arial"/>
          <w:color w:val="000000"/>
          <w:sz w:val="24"/>
          <w:lang w:val="en-US" w:eastAsia="zh-CN"/>
        </w:rPr>
        <w:t>西安分公司，作为西安市内项目支撑的保障平台， 为用户提供便捷、周到的服务。针对本项目保证在质保期结束前我方无偿提供7*24小时远程技术热线，确保设备安全、正常运行。服务人员应了解掌握设备的工作原理和性能， 有现场工作经验，能够正确地与招标方沟通，进行现场指导。</w:t>
      </w:r>
    </w:p>
    <w:p>
      <w:pPr>
        <w:pStyle w:val="4"/>
        <w:numPr>
          <w:ilvl w:val="1"/>
          <w:numId w:val="131"/>
        </w:numPr>
        <w:rPr>
          <w:rFonts w:hint="eastAsia" w:hAnsi="宋体" w:cs="Arial"/>
          <w:bCs w:val="0"/>
          <w:color w:val="000000"/>
          <w:sz w:val="28"/>
          <w:szCs w:val="28"/>
          <w:lang w:val="en-US" w:eastAsia="zh-CN"/>
        </w:rPr>
      </w:pPr>
      <w:bookmarkStart w:id="547" w:name="_bookmark312"/>
      <w:bookmarkEnd w:id="547"/>
      <w:bookmarkStart w:id="548" w:name="_Toc29775"/>
      <w:r>
        <w:rPr>
          <w:rFonts w:hint="eastAsia" w:hAnsi="宋体" w:cs="Arial"/>
          <w:bCs w:val="0"/>
          <w:color w:val="000000"/>
          <w:sz w:val="28"/>
          <w:szCs w:val="28"/>
          <w:lang w:val="en-US" w:eastAsia="zh-CN"/>
        </w:rPr>
        <w:t>现场应急处理工作组</w:t>
      </w:r>
      <w:bookmarkEnd w:id="548"/>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现场应急处理工作组，在出现安全事件后，对系统的运行提供技术支持和指导， 遵循正确的流程，采取正确快速的行动作出响应，提出事件统计分析报告。</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现场应急处理工作组由以下各方面的人员组成：</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管理方面包含项目经理，以及相关成员、部门负责人。主要确保安全策略的制定与执行；识别系统正常运行的主要威胁；在出现问题时决定所采取行动的先后顺序；做出关键的决定；批准例外的特殊情况等。</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技术方面应包含开发部技术人员，实施部技术人员和各个支局维护人员等主要负责从技术方面处理发生问题的系统。</w:t>
      </w:r>
    </w:p>
    <w:p>
      <w:pPr>
        <w:pStyle w:val="3"/>
        <w:numPr>
          <w:ilvl w:val="1"/>
          <w:numId w:val="2"/>
        </w:numPr>
        <w:rPr>
          <w:rFonts w:hint="eastAsia" w:ascii="宋体" w:hAnsi="宋体" w:eastAsia="宋体" w:cs="Arial"/>
          <w:color w:val="000000"/>
          <w:sz w:val="30"/>
          <w:szCs w:val="30"/>
        </w:rPr>
      </w:pPr>
      <w:bookmarkStart w:id="549" w:name="_bookmark313"/>
      <w:bookmarkEnd w:id="549"/>
      <w:bookmarkStart w:id="550" w:name="_Toc28939"/>
      <w:r>
        <w:rPr>
          <w:rFonts w:hint="eastAsia" w:ascii="宋体" w:hAnsi="宋体" w:eastAsia="宋体" w:cs="Arial"/>
          <w:color w:val="000000"/>
          <w:sz w:val="30"/>
          <w:szCs w:val="30"/>
        </w:rPr>
        <w:t>售后服务实施</w:t>
      </w:r>
      <w:bookmarkEnd w:id="550"/>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我公司为本项目建立专门的售后服务团队，就近选择分公司建立前端点位维护岗，责任到人，同时我公司提供电话技术支持、现场技术支持、备件替换、重大事件保障、设备巡检等。</w:t>
      </w:r>
    </w:p>
    <w:p>
      <w:pPr>
        <w:pStyle w:val="4"/>
        <w:numPr>
          <w:ilvl w:val="1"/>
          <w:numId w:val="132"/>
        </w:numPr>
        <w:rPr>
          <w:rFonts w:hint="eastAsia" w:cs="Arial"/>
          <w:bCs w:val="0"/>
          <w:color w:val="000000"/>
          <w:sz w:val="28"/>
          <w:szCs w:val="28"/>
        </w:rPr>
      </w:pPr>
      <w:bookmarkStart w:id="551" w:name="_Toc22170"/>
      <w:r>
        <w:rPr>
          <w:rFonts w:hint="eastAsia" w:cs="Arial"/>
          <w:bCs w:val="0"/>
          <w:color w:val="000000"/>
          <w:sz w:val="28"/>
          <w:szCs w:val="28"/>
        </w:rPr>
        <w:t>故障申告方式</w:t>
      </w:r>
      <w:bookmarkEnd w:id="551"/>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客户可选择以下任何一种方式向我公司申告，针对不同等级的网络故障， 我们将采用不同的处理方式，并有相应的处理流程提供保证，直到客户满意为止。</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1.客户可直接向当地分公司服务热线申告。</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2.如果客户认为故障原因和地域无法判明，或与服务热线沟通有困难，可以选择向您的客户经理申告故障， 由他代向有关部门申告故障， 并全程协调解决， 将解决情况反馈给客户。</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3.客户可以选择通过客户工程师代为进行障碍申告。我公司为周至县交通警察大队配置专属客户工程师。</w:t>
      </w:r>
    </w:p>
    <w:p>
      <w:pPr>
        <w:pStyle w:val="4"/>
        <w:numPr>
          <w:ilvl w:val="1"/>
          <w:numId w:val="132"/>
        </w:numPr>
        <w:rPr>
          <w:rFonts w:hint="eastAsia" w:cs="Arial"/>
          <w:bCs w:val="0"/>
          <w:color w:val="000000"/>
          <w:sz w:val="28"/>
          <w:szCs w:val="28"/>
        </w:rPr>
      </w:pPr>
      <w:bookmarkStart w:id="552" w:name="_bookmark315"/>
      <w:bookmarkEnd w:id="552"/>
      <w:bookmarkStart w:id="553" w:name="_Toc10839"/>
      <w:r>
        <w:rPr>
          <w:rFonts w:hint="eastAsia" w:cs="Arial"/>
          <w:bCs w:val="0"/>
          <w:color w:val="000000"/>
          <w:sz w:val="28"/>
          <w:szCs w:val="28"/>
        </w:rPr>
        <w:t>应急响应</w:t>
      </w:r>
      <w:bookmarkEnd w:id="553"/>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在大型网络系统运行过程中，会受到多方面因素的影响， 由此产生众多的突发问题。为了保证系统的可靠运行，从系统设计开始，就需要充分考虑到各类突发事件影响，同时制定相应的应急策略。根据我们多年的系统集成经验，在网络系统运行过程中，可能出现的突发问题主要有以下几类：设备损坏、电信线路问题、软件错误、操作失误、病毒导致网络堵塞等。具体应急事件的预防和处理措施详见下表。</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当系统发生紧急故障时，本公司在质保期结束前无偿提供 7*24 小时远程技术热线、30 钟内到达现场，2 时内完成故障诊断分析，确保设备安全、正常运行。服务人员应了解掌握设备的工作原理和性能，有现场工作经验，能够正确地与招标方沟通，进行现场指导。</w:t>
      </w:r>
    </w:p>
    <w:tbl>
      <w:tblPr>
        <w:tblStyle w:val="41"/>
        <w:tblpPr w:leftFromText="180" w:rightFromText="180" w:vertAnchor="text" w:horzAnchor="page" w:tblpX="1748" w:tblpY="400"/>
        <w:tblOverlap w:val="never"/>
        <w:tblW w:w="852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60"/>
        <w:gridCol w:w="2900"/>
        <w:gridCol w:w="30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2560" w:type="dxa"/>
            <w:vAlign w:val="center"/>
          </w:tcPr>
          <w:p>
            <w:pPr>
              <w:spacing w:before="69" w:line="186" w:lineRule="auto"/>
              <w:jc w:val="center"/>
              <w:rPr>
                <w:rFonts w:ascii="宋体" w:hAnsi="宋体" w:eastAsia="宋体" w:cs="宋体"/>
                <w:sz w:val="21"/>
                <w:szCs w:val="21"/>
              </w:rPr>
            </w:pPr>
            <w:r>
              <w:rPr>
                <w:rFonts w:ascii="宋体" w:hAnsi="宋体" w:eastAsia="宋体" w:cs="宋体"/>
                <w:spacing w:val="-3"/>
                <w:sz w:val="21"/>
                <w:szCs w:val="21"/>
              </w:rPr>
              <w:t>突发事件</w:t>
            </w:r>
          </w:p>
        </w:tc>
        <w:tc>
          <w:tcPr>
            <w:tcW w:w="2900" w:type="dxa"/>
            <w:vAlign w:val="center"/>
          </w:tcPr>
          <w:p>
            <w:pPr>
              <w:spacing w:before="69" w:line="186" w:lineRule="auto"/>
              <w:jc w:val="center"/>
              <w:rPr>
                <w:rFonts w:ascii="宋体" w:hAnsi="宋体" w:eastAsia="宋体" w:cs="宋体"/>
                <w:spacing w:val="-3"/>
                <w:sz w:val="21"/>
                <w:szCs w:val="21"/>
              </w:rPr>
            </w:pPr>
            <w:r>
              <w:rPr>
                <w:rFonts w:ascii="宋体" w:hAnsi="宋体" w:eastAsia="宋体" w:cs="宋体"/>
                <w:spacing w:val="-3"/>
                <w:sz w:val="21"/>
                <w:szCs w:val="21"/>
              </w:rPr>
              <w:t>预防措施</w:t>
            </w:r>
          </w:p>
        </w:tc>
        <w:tc>
          <w:tcPr>
            <w:tcW w:w="3060" w:type="dxa"/>
            <w:vAlign w:val="center"/>
          </w:tcPr>
          <w:p>
            <w:pPr>
              <w:spacing w:before="69" w:line="186" w:lineRule="auto"/>
              <w:jc w:val="center"/>
              <w:rPr>
                <w:rFonts w:ascii="宋体" w:hAnsi="宋体" w:eastAsia="宋体" w:cs="宋体"/>
                <w:spacing w:val="-3"/>
                <w:sz w:val="21"/>
                <w:szCs w:val="21"/>
              </w:rPr>
            </w:pPr>
            <w:r>
              <w:rPr>
                <w:rFonts w:ascii="宋体" w:hAnsi="宋体" w:eastAsia="宋体" w:cs="宋体"/>
                <w:spacing w:val="-3"/>
                <w:sz w:val="21"/>
                <w:szCs w:val="21"/>
              </w:rPr>
              <w:t>处理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2560" w:type="dxa"/>
            <w:vAlign w:val="center"/>
          </w:tcPr>
          <w:p>
            <w:pPr>
              <w:spacing w:before="69" w:line="186" w:lineRule="auto"/>
              <w:ind w:firstLine="408" w:firstLineChars="200"/>
              <w:jc w:val="left"/>
              <w:rPr>
                <w:rFonts w:ascii="宋体" w:hAnsi="宋体" w:eastAsia="宋体" w:cs="宋体"/>
                <w:spacing w:val="-3"/>
                <w:sz w:val="21"/>
                <w:szCs w:val="21"/>
                <w:lang w:val="en-US" w:eastAsia="zh-CN"/>
              </w:rPr>
            </w:pPr>
            <w:r>
              <w:rPr>
                <w:rFonts w:ascii="宋体" w:hAnsi="宋体" w:eastAsia="宋体" w:cs="宋体"/>
                <w:spacing w:val="-3"/>
                <w:sz w:val="21"/>
                <w:szCs w:val="21"/>
              </w:rPr>
              <w:t>设备损坏</w:t>
            </w:r>
          </w:p>
        </w:tc>
        <w:tc>
          <w:tcPr>
            <w:tcW w:w="2900" w:type="dxa"/>
            <w:vAlign w:val="center"/>
          </w:tcPr>
          <w:p>
            <w:pPr>
              <w:spacing w:before="69" w:line="186" w:lineRule="auto"/>
              <w:ind w:firstLine="408" w:firstLineChars="200"/>
              <w:jc w:val="left"/>
              <w:rPr>
                <w:rFonts w:ascii="宋体" w:hAnsi="宋体" w:eastAsia="宋体" w:cs="宋体"/>
                <w:spacing w:val="-3"/>
                <w:sz w:val="21"/>
                <w:szCs w:val="21"/>
                <w:lang w:val="en-US" w:eastAsia="zh-CN"/>
              </w:rPr>
            </w:pPr>
            <w:r>
              <w:rPr>
                <w:rFonts w:ascii="宋体" w:hAnsi="宋体" w:eastAsia="宋体" w:cs="宋体"/>
                <w:spacing w:val="-3"/>
                <w:sz w:val="21"/>
                <w:szCs w:val="21"/>
              </w:rPr>
              <w:t>提供网管软件接口监控，做到早发现早排除；</w:t>
            </w:r>
          </w:p>
        </w:tc>
        <w:tc>
          <w:tcPr>
            <w:tcW w:w="3060" w:type="dxa"/>
            <w:vAlign w:val="center"/>
          </w:tcPr>
          <w:p>
            <w:pPr>
              <w:spacing w:before="69" w:line="186" w:lineRule="auto"/>
              <w:ind w:firstLine="408" w:firstLineChars="200"/>
              <w:jc w:val="left"/>
              <w:rPr>
                <w:rFonts w:ascii="宋体" w:hAnsi="宋体" w:eastAsia="宋体" w:cs="宋体"/>
                <w:spacing w:val="-3"/>
                <w:sz w:val="21"/>
                <w:szCs w:val="21"/>
                <w:lang w:val="en-US" w:eastAsia="zh-CN"/>
              </w:rPr>
            </w:pPr>
            <w:r>
              <w:rPr>
                <w:rFonts w:ascii="宋体" w:hAnsi="宋体" w:eastAsia="宋体" w:cs="宋体"/>
                <w:spacing w:val="-3"/>
                <w:sz w:val="21"/>
                <w:szCs w:val="21"/>
              </w:rPr>
              <w:t>小组的技术人员第一时间赶到现场提供设备维护服务，需要备品备件时常用备件更换时不超过 2 小时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2560" w:type="dxa"/>
            <w:vAlign w:val="top"/>
          </w:tcPr>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场地、设备不符合实施条件，如电源等</w:t>
            </w:r>
          </w:p>
        </w:tc>
        <w:tc>
          <w:tcPr>
            <w:tcW w:w="2900" w:type="dxa"/>
            <w:vAlign w:val="top"/>
          </w:tcPr>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事先核实相关环境</w:t>
            </w:r>
            <w:r>
              <w:rPr>
                <w:rFonts w:hint="eastAsia" w:ascii="宋体" w:hAnsi="宋体" w:eastAsia="宋体" w:cs="宋体"/>
                <w:spacing w:val="-3"/>
                <w:sz w:val="21"/>
                <w:szCs w:val="21"/>
                <w:lang w:eastAsia="zh-CN"/>
              </w:rPr>
              <w:t>；</w:t>
            </w:r>
            <w:r>
              <w:rPr>
                <w:rFonts w:ascii="宋体" w:hAnsi="宋体" w:eastAsia="宋体" w:cs="宋体"/>
                <w:spacing w:val="-3"/>
                <w:sz w:val="21"/>
                <w:szCs w:val="21"/>
              </w:rPr>
              <w:t xml:space="preserve"> 二次勘测；</w:t>
            </w:r>
          </w:p>
        </w:tc>
        <w:tc>
          <w:tcPr>
            <w:tcW w:w="3060" w:type="dxa"/>
            <w:vAlign w:val="top"/>
          </w:tcPr>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协调用户准备；申请延期，填写延期报告单，报调度管理组及项目单位备 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2560" w:type="dxa"/>
            <w:vAlign w:val="top"/>
          </w:tcPr>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安装调试时，与原系统发生 IP 地址冲突、接口不匹配等情况</w:t>
            </w:r>
          </w:p>
        </w:tc>
        <w:tc>
          <w:tcPr>
            <w:tcW w:w="2900" w:type="dxa"/>
            <w:vAlign w:val="top"/>
          </w:tcPr>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设计规划时应该对现场环境有详细、深入的了解；</w:t>
            </w:r>
          </w:p>
        </w:tc>
        <w:tc>
          <w:tcPr>
            <w:tcW w:w="3060" w:type="dxa"/>
            <w:vAlign w:val="top"/>
          </w:tcPr>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使用临时IP地址或脱机配置；在现场当地采购相应转换接口；填写问题报告单报调度管理组和设计规划组；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0" w:hRule="atLeast"/>
        </w:trPr>
        <w:tc>
          <w:tcPr>
            <w:tcW w:w="2560" w:type="dxa"/>
            <w:vAlign w:val="top"/>
          </w:tcPr>
          <w:p>
            <w:pPr>
              <w:spacing w:before="69" w:line="186" w:lineRule="auto"/>
              <w:jc w:val="left"/>
              <w:rPr>
                <w:rFonts w:ascii="宋体" w:hAnsi="宋体" w:eastAsia="宋体" w:cs="宋体"/>
                <w:spacing w:val="-3"/>
                <w:sz w:val="21"/>
                <w:szCs w:val="21"/>
              </w:rPr>
            </w:pPr>
          </w:p>
          <w:p>
            <w:pPr>
              <w:spacing w:before="69" w:line="186" w:lineRule="auto"/>
              <w:jc w:val="left"/>
              <w:rPr>
                <w:rFonts w:ascii="宋体" w:hAnsi="宋体" w:eastAsia="宋体" w:cs="宋体"/>
                <w:spacing w:val="-3"/>
                <w:sz w:val="21"/>
                <w:szCs w:val="21"/>
              </w:rPr>
            </w:pPr>
          </w:p>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配置操作失误</w:t>
            </w:r>
          </w:p>
        </w:tc>
        <w:tc>
          <w:tcPr>
            <w:tcW w:w="2900" w:type="dxa"/>
            <w:vAlign w:val="top"/>
          </w:tcPr>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在技术培训时， 预先强调系统备份工作的重要性，同时提供系统备份与恢复工作的培训内容，使得用户掌握对于设备配置、操作系统配置、各类关键数据文件等多种类型的系统备份与恢复步骤；安装完成时预先对所有数据进行备份；</w:t>
            </w:r>
          </w:p>
        </w:tc>
        <w:tc>
          <w:tcPr>
            <w:tcW w:w="3060" w:type="dxa"/>
            <w:vAlign w:val="top"/>
          </w:tcPr>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1、利用备用数据恢复；</w:t>
            </w:r>
          </w:p>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2、利用常见故障解决方案解决；</w:t>
            </w:r>
          </w:p>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3、按照《现场调测作业指导书》重新安装；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2560" w:type="dxa"/>
            <w:vAlign w:val="top"/>
          </w:tcPr>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电信线路问题</w:t>
            </w:r>
          </w:p>
        </w:tc>
        <w:tc>
          <w:tcPr>
            <w:tcW w:w="2900" w:type="dxa"/>
            <w:vAlign w:val="top"/>
          </w:tcPr>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协调本地电信提供线路资源时采用最优质的、有冗余的资源的电路资源</w:t>
            </w:r>
          </w:p>
        </w:tc>
        <w:tc>
          <w:tcPr>
            <w:tcW w:w="3060" w:type="dxa"/>
            <w:vAlign w:val="top"/>
          </w:tcPr>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本公司当地技术服务人员立即协调采用冗余的线路替换，保证系统线路最快恢复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3" w:hRule="atLeast"/>
        </w:trPr>
        <w:tc>
          <w:tcPr>
            <w:tcW w:w="2560" w:type="dxa"/>
            <w:vAlign w:val="top"/>
          </w:tcPr>
          <w:p>
            <w:pPr>
              <w:spacing w:before="69" w:line="186" w:lineRule="auto"/>
              <w:jc w:val="left"/>
              <w:rPr>
                <w:rFonts w:ascii="宋体" w:hAnsi="宋体" w:eastAsia="宋体" w:cs="宋体"/>
                <w:spacing w:val="-3"/>
                <w:sz w:val="21"/>
                <w:szCs w:val="21"/>
              </w:rPr>
            </w:pPr>
          </w:p>
          <w:p>
            <w:pPr>
              <w:spacing w:before="69" w:line="186" w:lineRule="auto"/>
              <w:jc w:val="left"/>
              <w:rPr>
                <w:rFonts w:ascii="宋体" w:hAnsi="宋体" w:eastAsia="宋体" w:cs="宋体"/>
                <w:spacing w:val="-3"/>
                <w:sz w:val="21"/>
                <w:szCs w:val="21"/>
              </w:rPr>
            </w:pPr>
          </w:p>
          <w:p>
            <w:pPr>
              <w:spacing w:before="69" w:line="186" w:lineRule="auto"/>
              <w:ind w:firstLine="408" w:firstLineChars="200"/>
              <w:jc w:val="left"/>
              <w:rPr>
                <w:rFonts w:ascii="宋体" w:hAnsi="宋体" w:eastAsia="宋体" w:cs="宋体"/>
                <w:spacing w:val="-3"/>
                <w:sz w:val="21"/>
                <w:szCs w:val="21"/>
              </w:rPr>
            </w:pPr>
            <w:r>
              <w:rPr>
                <w:rFonts w:ascii="宋体" w:hAnsi="宋体" w:eastAsia="宋体" w:cs="宋体"/>
                <w:spacing w:val="-3"/>
                <w:sz w:val="21"/>
                <w:szCs w:val="21"/>
              </w:rPr>
              <w:t>网络堵塞</w:t>
            </w:r>
          </w:p>
        </w:tc>
        <w:tc>
          <w:tcPr>
            <w:tcW w:w="2900" w:type="dxa"/>
            <w:vAlign w:val="top"/>
          </w:tcPr>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1、全网安装网络版杀毒软件并经常更新病毒库；</w:t>
            </w:r>
          </w:p>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2、网管软件监控提醒，及时发现；</w:t>
            </w:r>
          </w:p>
        </w:tc>
        <w:tc>
          <w:tcPr>
            <w:tcW w:w="3060" w:type="dxa"/>
            <w:vAlign w:val="top"/>
          </w:tcPr>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1、对流量异常的网络设备脱网；</w:t>
            </w:r>
          </w:p>
          <w:p>
            <w:pPr>
              <w:spacing w:before="69" w:line="186" w:lineRule="auto"/>
              <w:ind w:left="340" w:leftChars="100" w:firstLine="0" w:firstLineChars="0"/>
              <w:jc w:val="left"/>
              <w:rPr>
                <w:rFonts w:ascii="宋体" w:hAnsi="宋体" w:eastAsia="宋体" w:cs="宋体"/>
                <w:spacing w:val="-3"/>
                <w:sz w:val="21"/>
                <w:szCs w:val="21"/>
              </w:rPr>
            </w:pPr>
            <w:r>
              <w:rPr>
                <w:rFonts w:ascii="宋体" w:hAnsi="宋体" w:eastAsia="宋体" w:cs="宋体"/>
                <w:spacing w:val="-3"/>
                <w:sz w:val="21"/>
                <w:szCs w:val="21"/>
              </w:rPr>
              <w:t>2、杀毒；</w:t>
            </w:r>
          </w:p>
        </w:tc>
      </w:tr>
    </w:tbl>
    <w:p>
      <w:pPr>
        <w:tabs>
          <w:tab w:val="left" w:pos="180"/>
        </w:tabs>
        <w:spacing w:line="360" w:lineRule="auto"/>
        <w:ind w:firstLine="660"/>
        <w:rPr>
          <w:rFonts w:hint="eastAsia" w:hAnsi="宋体" w:cs="Arial"/>
          <w:color w:val="000000"/>
          <w:sz w:val="24"/>
          <w:lang w:eastAsia="zh-CN"/>
        </w:rPr>
      </w:pPr>
    </w:p>
    <w:p>
      <w:pPr>
        <w:pStyle w:val="4"/>
        <w:numPr>
          <w:ilvl w:val="1"/>
          <w:numId w:val="132"/>
        </w:numPr>
        <w:rPr>
          <w:rFonts w:hint="eastAsia" w:cs="Arial"/>
          <w:bCs w:val="0"/>
          <w:color w:val="000000"/>
          <w:sz w:val="28"/>
          <w:szCs w:val="28"/>
        </w:rPr>
      </w:pPr>
      <w:bookmarkStart w:id="554" w:name="_Toc6867"/>
      <w:r>
        <w:rPr>
          <w:rFonts w:hint="eastAsia" w:cs="Arial"/>
          <w:bCs w:val="0"/>
          <w:color w:val="000000"/>
          <w:sz w:val="28"/>
          <w:szCs w:val="28"/>
        </w:rPr>
        <w:t>应急保障制度</w:t>
      </w:r>
      <w:bookmarkEnd w:id="554"/>
    </w:p>
    <w:p>
      <w:pPr>
        <w:numPr>
          <w:ilvl w:val="0"/>
          <w:numId w:val="133"/>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故障升级制度</w:t>
      </w:r>
    </w:p>
    <w:p>
      <w:pPr>
        <w:numPr>
          <w:ilvl w:val="1"/>
          <w:numId w:val="134"/>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大客户故障升级原则以故障对大客户业务的影响程度为依据，逐级向业务主管、 上一级相关领导升级报告网络故障严重影响重要客户通信、重要客户故障处理超时、疑难故障处理不当引起重要客户不满等。</w:t>
      </w:r>
    </w:p>
    <w:p>
      <w:pPr>
        <w:numPr>
          <w:ilvl w:val="1"/>
          <w:numId w:val="134"/>
        </w:numPr>
        <w:tabs>
          <w:tab w:val="left" w:pos="1260"/>
          <w:tab w:val="clear" w:pos="1620"/>
        </w:tabs>
        <w:spacing w:line="360" w:lineRule="auto"/>
        <w:ind w:left="1260"/>
        <w:rPr>
          <w:rFonts w:ascii="宋体" w:hAnsi="宋体" w:eastAsia="宋体" w:cs="宋体"/>
          <w:sz w:val="24"/>
          <w:szCs w:val="24"/>
        </w:rPr>
      </w:pPr>
      <w:r>
        <w:rPr>
          <w:rFonts w:ascii="宋体" w:hAnsi="宋体" w:cs="Arial"/>
          <w:color w:val="000000"/>
          <w:sz w:val="24"/>
        </w:rPr>
        <w:t>故障受理人员在接到重大故障申告时，立即与网络监控部门取得联系，除正常派单处理外，须了解故障影响程度或处理情况，将故障升级至主管，主管负责故障处理、指挥</w:t>
      </w:r>
      <w:r>
        <w:rPr>
          <w:rFonts w:ascii="宋体" w:hAnsi="宋体" w:eastAsia="宋体" w:cs="宋体"/>
          <w:spacing w:val="-10"/>
          <w:sz w:val="24"/>
          <w:szCs w:val="24"/>
        </w:rPr>
        <w:t>和协调，并根据故障紧急和影响程度逐级上报有关领导，以便调动更多资源协助紧急故障处</w:t>
      </w:r>
      <w:r>
        <w:rPr>
          <w:rFonts w:ascii="宋体" w:hAnsi="宋体" w:eastAsia="宋体" w:cs="宋体"/>
          <w:spacing w:val="-12"/>
          <w:sz w:val="24"/>
          <w:szCs w:val="24"/>
        </w:rPr>
        <w:t>理。</w:t>
      </w:r>
    </w:p>
    <w:p>
      <w:pPr>
        <w:numPr>
          <w:ilvl w:val="1"/>
          <w:numId w:val="134"/>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在本地网发生的客户重大故障升级，须立即通过相关渠道或系统报省公司维护主管部门，并根据需要随时报告详细信息。</w:t>
      </w:r>
    </w:p>
    <w:p>
      <w:pPr>
        <w:numPr>
          <w:ilvl w:val="0"/>
          <w:numId w:val="133"/>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大客户故障报告制度</w:t>
      </w:r>
    </w:p>
    <w:p>
      <w:pPr>
        <w:numPr>
          <w:ilvl w:val="1"/>
          <w:numId w:val="135"/>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对项目中的重大障碍，各级维护部门立即报告本公司大客户部门，说明故障原因和预计的恢复时间。各级大客户部门在受理大客户故障申告、投诉时做好充分的解释工作并督促维护部门优先抢通大客户电路。</w:t>
      </w:r>
    </w:p>
    <w:p>
      <w:pPr>
        <w:numPr>
          <w:ilvl w:val="1"/>
          <w:numId w:val="135"/>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障碍处理完毕后三个工作日内提交故障处理报告，报告内容含障碍现象、障碍历 时、障碍原因等。</w:t>
      </w:r>
    </w:p>
    <w:p>
      <w:pPr>
        <w:numPr>
          <w:ilvl w:val="0"/>
          <w:numId w:val="133"/>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大客户故障预防制度</w:t>
      </w:r>
    </w:p>
    <w:p>
      <w:pPr>
        <w:numPr>
          <w:ilvl w:val="1"/>
          <w:numId w:val="136"/>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维护部门在进行可能影响贵单位通信的维护工作之前，事先征求贵单位意见，以便将计划内工作对贵单位通信的不良影响减到最小。</w:t>
      </w:r>
    </w:p>
    <w:p>
      <w:pPr>
        <w:numPr>
          <w:ilvl w:val="1"/>
          <w:numId w:val="136"/>
        </w:numPr>
        <w:tabs>
          <w:tab w:val="left" w:pos="1260"/>
          <w:tab w:val="clear" w:pos="1620"/>
        </w:tabs>
        <w:spacing w:line="360" w:lineRule="auto"/>
        <w:ind w:left="1260"/>
        <w:rPr>
          <w:rFonts w:ascii="宋体" w:hAnsi="宋体" w:cs="Arial"/>
          <w:color w:val="000000"/>
          <w:sz w:val="24"/>
        </w:rPr>
      </w:pPr>
      <w:r>
        <w:rPr>
          <w:rFonts w:ascii="宋体" w:hAnsi="宋体" w:cs="Arial"/>
          <w:color w:val="000000"/>
          <w:sz w:val="24"/>
        </w:rPr>
        <w:t>各级维护部门组织进行线路检修、设备搬迁、工程割接、网络及软件升级等有可能影响贵单位通信的工作时，应提前72小时通知贵单位。</w:t>
      </w:r>
    </w:p>
    <w:p>
      <w:pPr>
        <w:pStyle w:val="4"/>
        <w:numPr>
          <w:ilvl w:val="1"/>
          <w:numId w:val="132"/>
        </w:numPr>
        <w:rPr>
          <w:rFonts w:hint="eastAsia" w:cs="Arial"/>
          <w:bCs w:val="0"/>
          <w:color w:val="000000"/>
          <w:sz w:val="28"/>
          <w:szCs w:val="28"/>
        </w:rPr>
      </w:pPr>
      <w:bookmarkStart w:id="555" w:name="_bookmark317"/>
      <w:bookmarkEnd w:id="555"/>
      <w:bookmarkStart w:id="556" w:name="_Toc23414"/>
      <w:r>
        <w:rPr>
          <w:rFonts w:hint="eastAsia" w:cs="Arial"/>
          <w:bCs w:val="0"/>
          <w:color w:val="000000"/>
          <w:sz w:val="28"/>
          <w:szCs w:val="28"/>
        </w:rPr>
        <w:t>应急预案</w:t>
      </w:r>
      <w:bookmarkEnd w:id="556"/>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为了及时修复电路故障，缩短障碍历时，我公司为重要大客户制定了应急保障预案。具体内容有：系统主要设备巡检、系统联调、网络传输巡检及联调、传输设备接入测试、传输设备时隙占用图、传输设备接入光缆路由情况、客户电路开放情况、应急调度及保障措施。</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drawing>
          <wp:inline distT="0" distB="0" distL="0" distR="0">
            <wp:extent cx="95250" cy="111760"/>
            <wp:effectExtent l="0" t="0" r="6350" b="2540"/>
            <wp:docPr id="1409" name="IM 1409"/>
            <wp:cNvGraphicFramePr/>
            <a:graphic xmlns:a="http://schemas.openxmlformats.org/drawingml/2006/main">
              <a:graphicData uri="http://schemas.openxmlformats.org/drawingml/2006/picture">
                <pic:pic xmlns:pic="http://schemas.openxmlformats.org/drawingml/2006/picture">
                  <pic:nvPicPr>
                    <pic:cNvPr id="1409" name="IM 1409"/>
                    <pic:cNvPicPr/>
                  </pic:nvPicPr>
                  <pic:blipFill>
                    <a:blip r:embed="rId23"/>
                    <a:stretch>
                      <a:fillRect/>
                    </a:stretch>
                  </pic:blipFill>
                  <pic:spPr>
                    <a:xfrm>
                      <a:off x="0" y="0"/>
                      <a:ext cx="95402" cy="111861"/>
                    </a:xfrm>
                    <a:prstGeom prst="rect">
                      <a:avLst/>
                    </a:prstGeom>
                  </pic:spPr>
                </pic:pic>
              </a:graphicData>
            </a:graphic>
          </wp:inline>
        </w:drawing>
      </w:r>
      <w:r>
        <w:rPr>
          <w:rFonts w:hint="eastAsia" w:hAnsi="宋体" w:cs="Arial"/>
          <w:color w:val="000000"/>
          <w:sz w:val="24"/>
          <w:lang w:val="en-US" w:eastAsia="zh-CN"/>
        </w:rPr>
        <w:t xml:space="preserve"> 服务目标</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实现“零时延”故障响应。通过多种方式，在最短的时间内响应并解决客户系统运行过程中出现的故障，最大程度的降低系统故障对客户各项业务产生的影响。</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drawing>
          <wp:inline distT="0" distB="0" distL="0" distR="0">
            <wp:extent cx="95250" cy="111760"/>
            <wp:effectExtent l="0" t="0" r="6350" b="2540"/>
            <wp:docPr id="1410" name="IM 1410"/>
            <wp:cNvGraphicFramePr/>
            <a:graphic xmlns:a="http://schemas.openxmlformats.org/drawingml/2006/main">
              <a:graphicData uri="http://schemas.openxmlformats.org/drawingml/2006/picture">
                <pic:pic xmlns:pic="http://schemas.openxmlformats.org/drawingml/2006/picture">
                  <pic:nvPicPr>
                    <pic:cNvPr id="1410" name="IM 1410"/>
                    <pic:cNvPicPr/>
                  </pic:nvPicPr>
                  <pic:blipFill>
                    <a:blip r:embed="rId24"/>
                    <a:stretch>
                      <a:fillRect/>
                    </a:stretch>
                  </pic:blipFill>
                  <pic:spPr>
                    <a:xfrm>
                      <a:off x="0" y="0"/>
                      <a:ext cx="95402" cy="111861"/>
                    </a:xfrm>
                    <a:prstGeom prst="rect">
                      <a:avLst/>
                    </a:prstGeom>
                  </pic:spPr>
                </pic:pic>
              </a:graphicData>
            </a:graphic>
          </wp:inline>
        </w:drawing>
      </w:r>
      <w:r>
        <w:rPr>
          <w:rFonts w:hint="eastAsia" w:hAnsi="宋体" w:cs="Arial"/>
          <w:color w:val="000000"/>
          <w:sz w:val="24"/>
          <w:lang w:val="en-US" w:eastAsia="zh-CN"/>
        </w:rPr>
        <w:t xml:space="preserve"> 服务内容</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对于客户在系统运行过程中出现的故障，我们提供7X24的不间断服务。为使客户获得更加及时的服务，各级服务机构建立“首问负责制”，即不论客户的任何机构向哪一级服务热线或客户经理提出申告，我公司相关部门都应受理贵单位申告，按内部流程组织处理，不得推诿、扯皮。</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我公司将制定服务保障方案并采取必要的措施保证客户通信线路可靠平稳运行。保障服务措施包括以下几点：</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（1）建立完备的客户档案</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周至交警作为我公司的VIP客户，待本项目建设完毕后，我公司将对相应的电路、设备进行特殊标记，以保证其相关维护资料的准确性；建立详细、完备的电路资料档案和网络运行档案，为保证系统稳定运行提供良好的物质条件。</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（2）日常维护服务</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我公司为本项目配置专属客户工程师团队和对接人（VIP 技术服务负责人） ，负责日常售后服务工作的一点接应和系统故障处理协调人；该专属客户工程师承担7×24小时单点故障处理服务，并对故障发现、故障处理、故障恢复进行确认；负责定期牵头对客户系统进行隐患排查，并对排查过程及隐患处理进行全程跟踪。</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项目涉及所有专线、设备、软件均纳入运维监控体系；实现端到端全程业务管理；客户工程师定期上门进行客户端设备巡检及客户走访。</w:t>
      </w:r>
    </w:p>
    <w:p>
      <w:pPr>
        <w:pStyle w:val="4"/>
        <w:numPr>
          <w:ilvl w:val="1"/>
          <w:numId w:val="132"/>
        </w:numPr>
        <w:rPr>
          <w:rFonts w:hint="eastAsia" w:cs="Arial"/>
          <w:bCs w:val="0"/>
          <w:color w:val="000000"/>
          <w:sz w:val="28"/>
          <w:szCs w:val="28"/>
        </w:rPr>
      </w:pPr>
      <w:bookmarkStart w:id="557" w:name="_bookmark318"/>
      <w:bookmarkEnd w:id="557"/>
      <w:bookmarkStart w:id="558" w:name="_Toc9148"/>
      <w:r>
        <w:rPr>
          <w:rFonts w:hint="eastAsia" w:cs="Arial"/>
          <w:bCs w:val="0"/>
          <w:color w:val="000000"/>
          <w:sz w:val="28"/>
          <w:szCs w:val="28"/>
        </w:rPr>
        <w:t>应急处理程序</w:t>
      </w:r>
      <w:bookmarkEnd w:id="558"/>
    </w:p>
    <w:p>
      <w:pPr>
        <w:numPr>
          <w:ilvl w:val="0"/>
          <w:numId w:val="137"/>
        </w:numPr>
        <w:tabs>
          <w:tab w:val="left" w:pos="900"/>
          <w:tab w:val="clear" w:pos="420"/>
        </w:tabs>
        <w:spacing w:line="360" w:lineRule="auto"/>
        <w:ind w:left="900" w:hanging="540"/>
        <w:rPr>
          <w:rFonts w:ascii="宋体" w:hAnsi="宋体" w:cs="Arial"/>
          <w:color w:val="000000"/>
          <w:sz w:val="24"/>
        </w:rPr>
      </w:pPr>
      <w:bookmarkStart w:id="559" w:name="_bookmark319"/>
      <w:bookmarkEnd w:id="559"/>
      <w:r>
        <w:rPr>
          <w:rFonts w:ascii="宋体" w:hAnsi="宋体" w:cs="Arial"/>
          <w:color w:val="000000"/>
          <w:sz w:val="24"/>
        </w:rPr>
        <w:t>现场应急处理</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事件发生单位和现场应急处理工作组尽最大可能收集事件相关信息，明确事件类别，确定事件来源，保护证据，以便缩短应急响应时间。</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检查威胁造成的结果，评估事件带来的影响和损害：如检查系统、服务、数据的完整性、保密性或可用性，检查攻击者是否侵入了系统，以后是否能再次随意进入，损失的程度，确定暴露出的主要危险等。</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抑制事件的影响进一步扩大，限制潜在的损失与破坏。可能的抑制策略一般包括：关闭服务或关闭所有的系统，从网络上断开相关系统，修改防火墙和路由器的过滤规则，封锁或删除被攻破的登录账号，阻断可疑用户得以进入网络的通路，提高系统或网络行为的监控级别，设置陷阱，启用紧急事件下的接管系统， 实行特殊“防卫状态”安全警戒，反击攻击者的系统等。</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在事件被抑制之后，通过对有关恶意代码或行为的分析结果，找出事件根源， 明确相应的补救措施并彻底清除。与此同时，执法部门和其他相关机构将对攻击源进行定位并采取合适的措施将其中断。</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清理系统、恢复数据、程序、服务。把所有被攻破的系统和网络设备彻底还原到它们正常的任务状态。恢复工作应该十分小心，避免出现误操作导致数据的丢失。另外，恢复工作中如果涉及到机密数据，需要额外遵照机密系统的恢复要求。对不同任务的恢复工作的承担单位，要有不同的担保。如果攻击者获得了超级用户的访问权，一次完整的恢复应该强制性地修改所有的口令。</w:t>
      </w:r>
    </w:p>
    <w:p>
      <w:pPr>
        <w:numPr>
          <w:ilvl w:val="0"/>
          <w:numId w:val="137"/>
        </w:numPr>
        <w:tabs>
          <w:tab w:val="left" w:pos="900"/>
          <w:tab w:val="clear" w:pos="420"/>
        </w:tabs>
        <w:spacing w:line="360" w:lineRule="auto"/>
        <w:ind w:left="900" w:hanging="540"/>
        <w:rPr>
          <w:rFonts w:ascii="宋体" w:hAnsi="宋体" w:cs="Arial"/>
          <w:color w:val="000000"/>
          <w:sz w:val="24"/>
        </w:rPr>
      </w:pPr>
      <w:bookmarkStart w:id="560" w:name="_bookmark320"/>
      <w:bookmarkEnd w:id="560"/>
      <w:r>
        <w:rPr>
          <w:rFonts w:ascii="宋体" w:hAnsi="宋体" w:cs="Arial"/>
          <w:color w:val="000000"/>
          <w:sz w:val="24"/>
        </w:rPr>
        <w:t>备份与恢复策略</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随着信息技术的广泛应用，计算机系统的可靠性对业务系统的影响越来越大。作为IT服务的提供者，我们将仔细、全面地考虑并且制订备份与恢复策略。</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操作系统备份以系统卷为主，必须建立完整的系统备份档案，保证系统宕机时能及时恢 复系统原有状态， 包括此系统下运行的所有相关软件的配置。双机备份份软件应按应用系统 的实际配置情况制定相关的数据备份计划，如卷组备份、卷备份、文件系统备份、文件备份 等。应用系统的数据备份应由应用部门根据应用的实际情况列出所有相关数据的连接关系，以便制定出一份详细的数据备份计划，为数据恢复提供一份完整的依据。</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我公司系统工程师将为用户制定一份完整的系统备份方案，在日常维护的过程中有义务 协助用户做好系统的数据备份工作，并提供相关的技术支持，用户备份的介质将存放在用户处，以便故障的恢复。当用户系统出现故障之后，我公司的系统工程师将在用户的故障现场，开始进行故障的排除工作。需要用备份数据做系统恢复时，用户方需提供完整的数据备份。</w:t>
      </w:r>
    </w:p>
    <w:p>
      <w:p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系统工程师还将对用户提供系统升级和安装补丁的工作。若涉及非系统软件的补丁，只要用户提供补丁，我们也承诺协助用户完成安装任务。</w:t>
      </w:r>
    </w:p>
    <w:p>
      <w:pPr>
        <w:numPr>
          <w:ilvl w:val="0"/>
          <w:numId w:val="137"/>
        </w:numPr>
        <w:tabs>
          <w:tab w:val="left" w:pos="900"/>
          <w:tab w:val="clear" w:pos="420"/>
        </w:tabs>
        <w:spacing w:line="360" w:lineRule="auto"/>
        <w:ind w:left="900" w:hanging="540"/>
        <w:rPr>
          <w:rFonts w:ascii="宋体" w:hAnsi="宋体" w:cs="Arial"/>
          <w:color w:val="000000"/>
          <w:sz w:val="24"/>
        </w:rPr>
      </w:pPr>
      <w:bookmarkStart w:id="561" w:name="_bookmark321"/>
      <w:bookmarkEnd w:id="561"/>
      <w:r>
        <w:rPr>
          <w:rFonts w:ascii="宋体" w:hAnsi="宋体" w:cs="Arial"/>
          <w:color w:val="000000"/>
          <w:sz w:val="24"/>
        </w:rPr>
        <w:t>应急措施</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因大面积停电、外部网络中断等因素导致无法使用等突发事件</w:t>
      </w:r>
    </w:p>
    <w:p>
      <w:pPr>
        <w:numPr>
          <w:ilvl w:val="0"/>
          <w:numId w:val="139"/>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发生大面积停电事件后，工作人员应马上向信息安全突发事件应急响应领导小组汇报情况，并随时关注UPS使用情况。</w:t>
      </w:r>
    </w:p>
    <w:p>
      <w:pPr>
        <w:numPr>
          <w:ilvl w:val="0"/>
          <w:numId w:val="139"/>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网络技术部工作人员一旦发现UPS供电不足，应及时向信息安全突发事件应急响应领导小组汇报，在得到同意批示后，关闭服务器和存储设备的运行。</w:t>
      </w:r>
    </w:p>
    <w:p>
      <w:pPr>
        <w:numPr>
          <w:ilvl w:val="0"/>
          <w:numId w:val="139"/>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网站、网页出现非法言论事件紧急处置措施</w:t>
      </w:r>
    </w:p>
    <w:p>
      <w:pPr>
        <w:numPr>
          <w:ilvl w:val="0"/>
          <w:numId w:val="140"/>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网站、网页由系统维护服务部负责随时密切监视信息内容。</w:t>
      </w:r>
    </w:p>
    <w:p>
      <w:pPr>
        <w:numPr>
          <w:ilvl w:val="0"/>
          <w:numId w:val="140"/>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发现在网上出现非法信息时，工作人员应立即向信息安全突发事件应急响应领导小组负责人通报情况；情况紧急的，应先采取删除等处理措施，再按程序报告。</w:t>
      </w:r>
    </w:p>
    <w:p>
      <w:pPr>
        <w:numPr>
          <w:ilvl w:val="0"/>
          <w:numId w:val="140"/>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相关负责人应在接到通知后立即赶到现场，作好必要记录，清理非法信息，妥善保存有关记录及日志或审计记录，强化安全防范措施，并将网站网页重新投入使用。</w:t>
      </w:r>
    </w:p>
    <w:p>
      <w:pPr>
        <w:numPr>
          <w:ilvl w:val="0"/>
          <w:numId w:val="140"/>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追查非法信息来源，并将有关情况向上级汇报。</w:t>
      </w:r>
    </w:p>
    <w:p>
      <w:pPr>
        <w:numPr>
          <w:ilvl w:val="0"/>
          <w:numId w:val="140"/>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信息安全突发事件应急响应领导小组召开小组会议，如认为事态严重，则立即向公安部门报警。</w:t>
      </w:r>
    </w:p>
    <w:p>
      <w:pPr>
        <w:numPr>
          <w:ilvl w:val="0"/>
          <w:numId w:val="140"/>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黑客攻击事件紧急处置措施</w:t>
      </w:r>
    </w:p>
    <w:p>
      <w:pPr>
        <w:numPr>
          <w:ilvl w:val="0"/>
          <w:numId w:val="141"/>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当有关值班人员发现网页内容被篡改，或通过入侵检测系统发现有黑客正在进行攻击时，应立即向信息安全突发事件应急响应领导小组负责人通报情况。</w:t>
      </w:r>
    </w:p>
    <w:p>
      <w:pPr>
        <w:numPr>
          <w:ilvl w:val="0"/>
          <w:numId w:val="141"/>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相关负责人应在接到通知后立即赶到现场，并首先将被攻击的服务器等设备从网络中隔离出来。</w:t>
      </w:r>
    </w:p>
    <w:p>
      <w:pPr>
        <w:numPr>
          <w:ilvl w:val="0"/>
          <w:numId w:val="141"/>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对现场进行分析，并写出分析报告存档，必要时上报信息安全突发事件应急响应领导小组。</w:t>
      </w:r>
    </w:p>
    <w:p>
      <w:pPr>
        <w:numPr>
          <w:ilvl w:val="0"/>
          <w:numId w:val="141"/>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恢复与重建被攻击或破坏系统</w:t>
      </w:r>
    </w:p>
    <w:p>
      <w:pPr>
        <w:numPr>
          <w:ilvl w:val="0"/>
          <w:numId w:val="141"/>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信息安全突发事件应急响应领导小组召开小组会议，如认为事态严重，则立即向公安部门报警。</w:t>
      </w:r>
    </w:p>
    <w:p>
      <w:pPr>
        <w:numPr>
          <w:ilvl w:val="0"/>
          <w:numId w:val="141"/>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病毒事件紧急处置措施</w:t>
      </w:r>
    </w:p>
    <w:p>
      <w:pPr>
        <w:numPr>
          <w:ilvl w:val="0"/>
          <w:numId w:val="142"/>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当工作人员发现服务器被感染上病毒后， 应立即向信息安全突发事件应急响应领导小组负责人报告，将中毒的服务器从网络上隔离开来。</w:t>
      </w:r>
    </w:p>
    <w:p>
      <w:pPr>
        <w:numPr>
          <w:ilvl w:val="0"/>
          <w:numId w:val="142"/>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相关负责人在接到通报后立即赶到现场。</w:t>
      </w:r>
    </w:p>
    <w:p>
      <w:pPr>
        <w:numPr>
          <w:ilvl w:val="0"/>
          <w:numId w:val="142"/>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对中毒设备的硬盘进行数据备份。</w:t>
      </w:r>
    </w:p>
    <w:p>
      <w:pPr>
        <w:numPr>
          <w:ilvl w:val="0"/>
          <w:numId w:val="142"/>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启用反病毒软件对该服务器进行杀毒处理，同时通过病毒检测软件对其他机器进行病毒扫描和清除工作。</w:t>
      </w:r>
    </w:p>
    <w:p>
      <w:pPr>
        <w:numPr>
          <w:ilvl w:val="0"/>
          <w:numId w:val="142"/>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如果现行反病毒软件无法清除该病毒，应立即向信息安全突发事件应急响应领导小组报告，并迅速联系防病毒厂商研究解决。</w:t>
      </w:r>
    </w:p>
    <w:p>
      <w:pPr>
        <w:numPr>
          <w:ilvl w:val="0"/>
          <w:numId w:val="142"/>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软件系统遭破坏性攻击的紧急处置措施</w:t>
      </w:r>
    </w:p>
    <w:p>
      <w:pPr>
        <w:numPr>
          <w:ilvl w:val="0"/>
          <w:numId w:val="143"/>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重要的软件系统平时必须存有备份，与软件系统相对应的数据必须按容灾备份规定的间隔按时进行备份，并将它们保存于安全处。</w:t>
      </w:r>
    </w:p>
    <w:p>
      <w:pPr>
        <w:numPr>
          <w:ilvl w:val="0"/>
          <w:numId w:val="143"/>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一旦软件遭到破坏性攻击，应立即向信息安全突发事件应急响应领导小组报告，并将该系统停止运行。</w:t>
      </w:r>
    </w:p>
    <w:p>
      <w:pPr>
        <w:numPr>
          <w:ilvl w:val="0"/>
          <w:numId w:val="143"/>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检查信息系统的日志等资料，确定攻击来源，并将有关情况向信息安全突发事件应急响应领导小组汇报，再恢复软件系统和数据。</w:t>
      </w:r>
    </w:p>
    <w:p>
      <w:pPr>
        <w:numPr>
          <w:ilvl w:val="0"/>
          <w:numId w:val="143"/>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信息安全突发事件应急响应领导小组开小组会议，如认为事态严重，则立即向公安部门报警。</w:t>
      </w:r>
    </w:p>
    <w:p>
      <w:pPr>
        <w:numPr>
          <w:ilvl w:val="0"/>
          <w:numId w:val="143"/>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系统存在严重BUG造成业务操作失误、数据错误</w:t>
      </w:r>
    </w:p>
    <w:p>
      <w:pPr>
        <w:numPr>
          <w:ilvl w:val="0"/>
          <w:numId w:val="144"/>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重要的软件系统平时必须存有备份，与软件系统相对应的数据必须按容灾备份规定的间隔按时进行备份，并将它们保存于安全处。</w:t>
      </w:r>
    </w:p>
    <w:p>
      <w:pPr>
        <w:numPr>
          <w:ilvl w:val="0"/>
          <w:numId w:val="144"/>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如果存在严重BUG，系统运行部工作人员应向信息安全突发事件应急响应领导小组汇报情况，并将该系统停止运行。</w:t>
      </w:r>
    </w:p>
    <w:p>
      <w:pPr>
        <w:numPr>
          <w:ilvl w:val="0"/>
          <w:numId w:val="144"/>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信息安全突发事件应急响应领导小组商议解决方案，限期解决BUG， 恢复错误数据。</w:t>
      </w:r>
    </w:p>
    <w:p>
      <w:pPr>
        <w:numPr>
          <w:ilvl w:val="0"/>
          <w:numId w:val="144"/>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数据库安全紧急处置措施</w:t>
      </w:r>
    </w:p>
    <w:p>
      <w:pPr>
        <w:numPr>
          <w:ilvl w:val="0"/>
          <w:numId w:val="145"/>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在有条件的地区，主要数据库系统应按双机备份设置，并至少要准备两个以上数据 库备份，平时一个备份放在机房，另一个备份放在另一安全的建筑物中。</w:t>
      </w:r>
    </w:p>
    <w:p>
      <w:pPr>
        <w:numPr>
          <w:ilvl w:val="0"/>
          <w:numId w:val="145"/>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一旦数据库崩溃，值班人员应立即启动备用系统，并向信息安全突发事件应急响应领导小组报告。</w:t>
      </w:r>
    </w:p>
    <w:p>
      <w:pPr>
        <w:numPr>
          <w:ilvl w:val="0"/>
          <w:numId w:val="145"/>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在备用系统运行期间，信息安全工作人员应对主机系统进行维修并作数据恢复。</w:t>
      </w:r>
    </w:p>
    <w:p>
      <w:pPr>
        <w:numPr>
          <w:ilvl w:val="0"/>
          <w:numId w:val="145"/>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numPr>
          <w:ilvl w:val="0"/>
          <w:numId w:val="138"/>
        </w:numPr>
        <w:tabs>
          <w:tab w:val="left" w:pos="180"/>
        </w:tabs>
        <w:spacing w:line="360" w:lineRule="auto"/>
        <w:ind w:left="1020" w:leftChars="0" w:hanging="425" w:firstLineChars="0"/>
        <w:rPr>
          <w:rFonts w:hint="eastAsia" w:hAnsi="宋体" w:cs="Arial"/>
          <w:color w:val="000000"/>
          <w:sz w:val="24"/>
          <w:lang w:val="en-US" w:eastAsia="zh-CN"/>
        </w:rPr>
      </w:pPr>
      <w:r>
        <w:rPr>
          <w:rFonts w:hint="eastAsia" w:hAnsi="宋体" w:cs="Arial"/>
          <w:color w:val="000000"/>
          <w:sz w:val="24"/>
          <w:lang w:val="en-US" w:eastAsia="zh-CN"/>
        </w:rPr>
        <w:t>数据库中数据被大面积非法篡改或删除的紧急处置措施</w:t>
      </w:r>
    </w:p>
    <w:p>
      <w:pPr>
        <w:numPr>
          <w:ilvl w:val="0"/>
          <w:numId w:val="146"/>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当发现数据库中数据被大面积非法篡改或删除，应立即向信息安全突发事件应急响应领导小组汇报，负责人根据实际情况给予指导和协调。</w:t>
      </w:r>
    </w:p>
    <w:p>
      <w:pPr>
        <w:numPr>
          <w:ilvl w:val="0"/>
          <w:numId w:val="146"/>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根据业务部门使用情况和故障发生的范围，使用系统检测程序， 确定数据篡改或删除具体数据库及所属表。及时修改数据库管理口令， 并利用监测工具查找原因，如果确定是恶意篡改或删除及时与公安局联系。</w:t>
      </w:r>
    </w:p>
    <w:p>
      <w:pPr>
        <w:numPr>
          <w:ilvl w:val="0"/>
          <w:numId w:val="146"/>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做好现场环境备份，调出历史数据，恢复非法篡改或删除的数据。</w:t>
      </w:r>
    </w:p>
    <w:p>
      <w:pPr>
        <w:numPr>
          <w:ilvl w:val="0"/>
          <w:numId w:val="146"/>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重新启动系统进行检测，确定故障得到解决。</w:t>
      </w:r>
    </w:p>
    <w:p>
      <w:pPr>
        <w:numPr>
          <w:ilvl w:val="0"/>
          <w:numId w:val="146"/>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对整个事件的时间、现象、处理过程作出详细记录。</w:t>
      </w:r>
    </w:p>
    <w:p>
      <w:pPr>
        <w:pStyle w:val="4"/>
        <w:numPr>
          <w:ilvl w:val="1"/>
          <w:numId w:val="132"/>
        </w:numPr>
        <w:rPr>
          <w:rFonts w:hint="eastAsia" w:cs="Arial"/>
          <w:bCs w:val="0"/>
          <w:color w:val="000000"/>
          <w:sz w:val="28"/>
          <w:szCs w:val="28"/>
        </w:rPr>
      </w:pPr>
      <w:bookmarkStart w:id="562" w:name="_Toc11017"/>
      <w:r>
        <w:rPr>
          <w:rFonts w:hint="eastAsia" w:cs="Arial"/>
          <w:bCs w:val="0"/>
          <w:color w:val="000000"/>
          <w:sz w:val="28"/>
          <w:szCs w:val="28"/>
        </w:rPr>
        <w:t>报告与总结</w:t>
      </w:r>
      <w:bookmarkEnd w:id="562"/>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回顾并整理发生事件的各种相关信息，把所有情况记录到文档中。事件处理完毕后 24 小时内提交问题处理报告，包含问题种类、问题原因、问题解决中使用的方法及造成的损失 等情况说明。</w:t>
      </w:r>
    </w:p>
    <w:p>
      <w:pPr>
        <w:pStyle w:val="4"/>
        <w:numPr>
          <w:ilvl w:val="1"/>
          <w:numId w:val="132"/>
        </w:numPr>
        <w:rPr>
          <w:rFonts w:hint="eastAsia" w:cs="Arial"/>
          <w:bCs w:val="0"/>
          <w:color w:val="000000"/>
          <w:sz w:val="28"/>
          <w:szCs w:val="28"/>
        </w:rPr>
      </w:pPr>
      <w:bookmarkStart w:id="563" w:name="_Toc14515"/>
      <w:r>
        <w:rPr>
          <w:rFonts w:hint="eastAsia" w:cs="Arial"/>
          <w:bCs w:val="0"/>
          <w:color w:val="000000"/>
          <w:sz w:val="28"/>
          <w:szCs w:val="28"/>
        </w:rPr>
        <w:t>责任与奖惩</w:t>
      </w:r>
      <w:bookmarkEnd w:id="563"/>
    </w:p>
    <w:p>
      <w:pPr>
        <w:numPr>
          <w:ilvl w:val="0"/>
          <w:numId w:val="0"/>
        </w:numPr>
        <w:tabs>
          <w:tab w:val="left" w:pos="180"/>
        </w:tabs>
        <w:spacing w:line="360" w:lineRule="auto"/>
        <w:ind w:firstLine="480" w:firstLineChars="200"/>
        <w:rPr>
          <w:rFonts w:hint="eastAsia" w:hAnsi="宋体" w:cs="Arial"/>
          <w:color w:val="000000"/>
          <w:sz w:val="24"/>
          <w:lang w:val="en-US" w:eastAsia="zh-CN"/>
        </w:rPr>
      </w:pPr>
    </w:p>
    <w:p>
      <w:pPr>
        <w:numPr>
          <w:ilvl w:val="0"/>
          <w:numId w:val="0"/>
        </w:numPr>
        <w:tabs>
          <w:tab w:val="left" w:pos="180"/>
        </w:tabs>
        <w:spacing w:line="360" w:lineRule="auto"/>
        <w:ind w:firstLine="480" w:firstLineChars="200"/>
        <w:rPr>
          <w:rFonts w:hint="eastAsia" w:hAnsi="宋体" w:cs="Arial"/>
          <w:color w:val="000000"/>
          <w:sz w:val="24"/>
          <w:lang w:val="en-US" w:eastAsia="zh-CN"/>
        </w:rPr>
      </w:pPr>
      <w:bookmarkStart w:id="564" w:name="_bookmark323"/>
      <w:bookmarkEnd w:id="564"/>
      <w:r>
        <w:rPr>
          <w:rFonts w:hint="eastAsia" w:hAnsi="宋体" w:cs="Arial"/>
          <w:color w:val="000000"/>
          <w:sz w:val="24"/>
          <w:lang w:val="en-US" w:eastAsia="zh-CN"/>
        </w:rPr>
        <w:t>各应急工作组应指定一名部门领导具体负责此项工作的落实。公司将把此项工作列入工作业绩评价考评中。按照有关规定，对在系统突发事件应急过程中表现突出的部门和个人给予表彰，对不认真执行本预案，贻误时机，给系统信息安全造成重大损失的，追究相关人员的责任。</w:t>
      </w:r>
    </w:p>
    <w:p>
      <w:pPr>
        <w:pStyle w:val="4"/>
        <w:numPr>
          <w:ilvl w:val="1"/>
          <w:numId w:val="132"/>
        </w:numPr>
        <w:rPr>
          <w:rFonts w:hint="eastAsia" w:cs="Arial"/>
          <w:bCs w:val="0"/>
          <w:color w:val="000000"/>
          <w:sz w:val="28"/>
          <w:szCs w:val="28"/>
        </w:rPr>
      </w:pPr>
      <w:bookmarkStart w:id="565" w:name="_Toc6453"/>
      <w:r>
        <w:rPr>
          <w:rFonts w:hint="eastAsia" w:cs="Arial"/>
          <w:bCs w:val="0"/>
          <w:color w:val="000000"/>
          <w:sz w:val="28"/>
          <w:szCs w:val="28"/>
        </w:rPr>
        <w:t>其他保障措施</w:t>
      </w:r>
      <w:bookmarkEnd w:id="565"/>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行话常讲：说得好不如干的好，干的好就要看得见。本公司在多年IT服务的经验基础上基本形成了科学量化的、规范化、可视化的服务体系。</w:t>
      </w:r>
    </w:p>
    <w:p>
      <w:pPr>
        <w:numPr>
          <w:ilvl w:val="0"/>
          <w:numId w:val="147"/>
        </w:numPr>
        <w:tabs>
          <w:tab w:val="left" w:pos="900"/>
          <w:tab w:val="clear" w:pos="420"/>
        </w:tabs>
        <w:spacing w:line="360" w:lineRule="auto"/>
        <w:ind w:left="900" w:hanging="540"/>
        <w:rPr>
          <w:rFonts w:ascii="宋体" w:hAnsi="宋体" w:cs="Arial"/>
          <w:color w:val="000000"/>
          <w:sz w:val="24"/>
        </w:rPr>
      </w:pPr>
      <w:bookmarkStart w:id="566" w:name="_bookmark325"/>
      <w:bookmarkEnd w:id="566"/>
      <w:r>
        <w:rPr>
          <w:rFonts w:ascii="宋体" w:hAnsi="宋体" w:cs="Arial"/>
          <w:color w:val="000000"/>
          <w:sz w:val="24"/>
        </w:rPr>
        <w:t>必备资料</w:t>
      </w:r>
    </w:p>
    <w:p>
      <w:pPr>
        <w:numPr>
          <w:ilvl w:val="0"/>
          <w:numId w:val="0"/>
        </w:numPr>
        <w:tabs>
          <w:tab w:val="left" w:pos="180"/>
        </w:tabs>
        <w:spacing w:line="360" w:lineRule="auto"/>
        <w:ind w:left="680" w:leftChars="200" w:firstLine="480" w:firstLineChars="200"/>
        <w:rPr>
          <w:rFonts w:hint="eastAsia" w:hAnsi="宋体" w:cs="Arial"/>
          <w:color w:val="000000"/>
          <w:sz w:val="24"/>
          <w:lang w:val="en-US" w:eastAsia="zh-CN"/>
        </w:rPr>
      </w:pPr>
      <w:r>
        <w:rPr>
          <w:rFonts w:hint="eastAsia" w:hAnsi="宋体" w:cs="Arial"/>
          <w:color w:val="000000"/>
          <w:sz w:val="24"/>
          <w:lang w:val="en-US" w:eastAsia="zh-CN"/>
        </w:rPr>
        <w:t>各应急工作组负责人必须常备突发事件应急响应预案和异常情况处理流程图、相关单位（部门）及分管领导联系方式，以利应对突发事件之需。</w:t>
      </w:r>
    </w:p>
    <w:p>
      <w:pPr>
        <w:numPr>
          <w:ilvl w:val="0"/>
          <w:numId w:val="147"/>
        </w:numPr>
        <w:tabs>
          <w:tab w:val="left" w:pos="900"/>
          <w:tab w:val="clear" w:pos="420"/>
        </w:tabs>
        <w:spacing w:line="360" w:lineRule="auto"/>
        <w:ind w:left="900" w:hanging="540"/>
        <w:rPr>
          <w:rFonts w:ascii="宋体" w:hAnsi="宋体" w:cs="Arial"/>
          <w:color w:val="000000"/>
          <w:sz w:val="24"/>
        </w:rPr>
      </w:pPr>
      <w:bookmarkStart w:id="567" w:name="_bookmark326"/>
      <w:bookmarkEnd w:id="567"/>
      <w:r>
        <w:rPr>
          <w:rFonts w:ascii="宋体" w:hAnsi="宋体" w:cs="Arial"/>
          <w:color w:val="000000"/>
          <w:sz w:val="24"/>
        </w:rPr>
        <w:t>数据保障</w:t>
      </w:r>
    </w:p>
    <w:p>
      <w:pPr>
        <w:numPr>
          <w:ilvl w:val="0"/>
          <w:numId w:val="0"/>
        </w:numPr>
        <w:tabs>
          <w:tab w:val="left" w:pos="180"/>
        </w:tabs>
        <w:spacing w:line="360" w:lineRule="auto"/>
        <w:ind w:left="680" w:leftChars="200" w:firstLine="480" w:firstLineChars="200"/>
        <w:rPr>
          <w:rFonts w:hint="eastAsia" w:hAnsi="宋体" w:cs="Arial"/>
          <w:color w:val="000000"/>
          <w:sz w:val="24"/>
          <w:lang w:val="en-US" w:eastAsia="zh-CN"/>
        </w:rPr>
      </w:pPr>
      <w:r>
        <w:rPr>
          <w:rFonts w:hint="eastAsia" w:hAnsi="宋体" w:cs="Arial"/>
          <w:color w:val="000000"/>
          <w:sz w:val="24"/>
          <w:lang w:val="en-US" w:eastAsia="zh-CN"/>
        </w:rPr>
        <w:t>数据库及数据平台项目均应建立异地容灾备份系统和相关工作机制，保证重要数据在受到破坏后，可紧急恢复。各容灾备份系统应具有一定兼容性，在特殊情况下各系统间可互为备份。</w:t>
      </w:r>
    </w:p>
    <w:p>
      <w:pPr>
        <w:numPr>
          <w:ilvl w:val="0"/>
          <w:numId w:val="147"/>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安全条款</w:t>
      </w:r>
    </w:p>
    <w:p>
      <w:pPr>
        <w:numPr>
          <w:ilvl w:val="0"/>
          <w:numId w:val="0"/>
        </w:numPr>
        <w:tabs>
          <w:tab w:val="left" w:pos="180"/>
        </w:tabs>
        <w:spacing w:line="360" w:lineRule="auto"/>
        <w:ind w:left="680" w:leftChars="200" w:firstLine="480" w:firstLineChars="200"/>
        <w:rPr>
          <w:rFonts w:hint="eastAsia" w:hAnsi="宋体" w:cs="Arial"/>
          <w:color w:val="000000"/>
          <w:sz w:val="24"/>
          <w:lang w:val="en-US" w:eastAsia="zh-CN"/>
        </w:rPr>
      </w:pPr>
      <w:r>
        <w:rPr>
          <w:rFonts w:hint="eastAsia" w:hAnsi="宋体" w:cs="Arial"/>
          <w:color w:val="000000"/>
          <w:sz w:val="24"/>
          <w:lang w:val="en-US" w:eastAsia="zh-CN"/>
        </w:rPr>
        <w:t>在维护工作前，本公司工程师须提前24小时（紧急故障处理除外）向客户项目主管提出书面的维护申请。内容包括维护的目的、操作工程师、操作步骤、涉及系统硬件变更、涉及系统软件变更、预计操作所需时间、申请操作所需时间等内容。待得到客户项目主管书面 批复后维护工作方能开始，且所有操作必须有客户方代表在场。</w:t>
      </w:r>
    </w:p>
    <w:p>
      <w:pPr>
        <w:numPr>
          <w:ilvl w:val="0"/>
          <w:numId w:val="0"/>
        </w:numPr>
        <w:tabs>
          <w:tab w:val="left" w:pos="180"/>
        </w:tabs>
        <w:spacing w:line="360" w:lineRule="auto"/>
        <w:ind w:left="680" w:leftChars="200" w:firstLine="480" w:firstLineChars="200"/>
        <w:rPr>
          <w:rFonts w:hint="eastAsia" w:hAnsi="宋体" w:cs="Arial"/>
          <w:color w:val="000000"/>
          <w:sz w:val="24"/>
          <w:lang w:val="en-US" w:eastAsia="zh-CN"/>
        </w:rPr>
      </w:pPr>
      <w:r>
        <w:rPr>
          <w:rFonts w:hint="eastAsia" w:hAnsi="宋体" w:cs="Arial"/>
          <w:color w:val="000000"/>
          <w:sz w:val="24"/>
          <w:lang w:val="en-US" w:eastAsia="zh-CN"/>
        </w:rPr>
        <w:t>如维护工作需要使用移动介质，则必须事先在本地进行病毒检查， 经客户方确认方可使用。</w:t>
      </w:r>
    </w:p>
    <w:p>
      <w:pPr>
        <w:numPr>
          <w:ilvl w:val="0"/>
          <w:numId w:val="0"/>
        </w:numPr>
        <w:tabs>
          <w:tab w:val="left" w:pos="180"/>
        </w:tabs>
        <w:spacing w:line="360" w:lineRule="auto"/>
        <w:ind w:left="680" w:leftChars="200" w:firstLine="480" w:firstLineChars="200"/>
        <w:rPr>
          <w:rFonts w:hint="eastAsia" w:hAnsi="宋体" w:cs="Arial"/>
          <w:color w:val="000000"/>
          <w:sz w:val="24"/>
          <w:lang w:val="en-US" w:eastAsia="zh-CN"/>
        </w:rPr>
      </w:pPr>
      <w:r>
        <w:rPr>
          <w:rFonts w:hint="eastAsia" w:hAnsi="宋体" w:cs="Arial"/>
          <w:color w:val="000000"/>
          <w:sz w:val="24"/>
          <w:lang w:val="en-US" w:eastAsia="zh-CN"/>
        </w:rPr>
        <w:t>维护操作必须事先做好操作方案并制定应急方案，必须严格掌握控制操作时间。所有操作记录须存档并长期保留。</w:t>
      </w:r>
    </w:p>
    <w:p>
      <w:pPr>
        <w:numPr>
          <w:ilvl w:val="0"/>
          <w:numId w:val="147"/>
        </w:numPr>
        <w:tabs>
          <w:tab w:val="left" w:pos="900"/>
          <w:tab w:val="clear" w:pos="420"/>
        </w:tabs>
        <w:spacing w:line="360" w:lineRule="auto"/>
        <w:ind w:left="900" w:hanging="540"/>
        <w:rPr>
          <w:rFonts w:ascii="宋体" w:hAnsi="宋体" w:cs="Arial"/>
          <w:color w:val="000000"/>
          <w:sz w:val="24"/>
        </w:rPr>
      </w:pPr>
      <w:bookmarkStart w:id="568" w:name="_bookmark328"/>
      <w:bookmarkEnd w:id="568"/>
      <w:r>
        <w:rPr>
          <w:rFonts w:ascii="宋体" w:hAnsi="宋体" w:cs="Arial"/>
          <w:color w:val="000000"/>
          <w:sz w:val="24"/>
        </w:rPr>
        <w:t>宣传、培训和演习</w:t>
      </w:r>
    </w:p>
    <w:p>
      <w:pPr>
        <w:numPr>
          <w:ilvl w:val="0"/>
          <w:numId w:val="0"/>
        </w:numPr>
        <w:tabs>
          <w:tab w:val="left" w:pos="180"/>
        </w:tabs>
        <w:spacing w:line="360" w:lineRule="auto"/>
        <w:ind w:left="680" w:leftChars="200" w:firstLine="480" w:firstLineChars="200"/>
        <w:rPr>
          <w:rFonts w:hint="eastAsia" w:hAnsi="宋体" w:cs="Arial"/>
          <w:color w:val="000000"/>
          <w:sz w:val="24"/>
          <w:lang w:val="en-US" w:eastAsia="zh-CN"/>
        </w:rPr>
      </w:pPr>
      <w:r>
        <w:rPr>
          <w:rFonts w:hint="eastAsia" w:hAnsi="宋体" w:cs="Arial"/>
          <w:color w:val="000000"/>
          <w:sz w:val="24"/>
          <w:lang w:val="en-US" w:eastAsia="zh-CN"/>
        </w:rPr>
        <w:t>组织协调组和数据管理组应加强对系统突发事件应急的宣传教育工作，定期或不定期地对有关部门及保障人员进行技术培训和应急演练，保证应急预案的有效实施，不断提高应对系统突发事件的能力。</w:t>
      </w:r>
    </w:p>
    <w:p>
      <w:pPr>
        <w:pStyle w:val="4"/>
        <w:numPr>
          <w:ilvl w:val="1"/>
          <w:numId w:val="132"/>
        </w:numPr>
        <w:rPr>
          <w:rFonts w:hint="eastAsia" w:cs="Arial"/>
          <w:bCs w:val="0"/>
          <w:color w:val="000000"/>
          <w:sz w:val="28"/>
          <w:szCs w:val="28"/>
        </w:rPr>
      </w:pPr>
      <w:bookmarkStart w:id="569" w:name="_bookmark329"/>
      <w:bookmarkEnd w:id="569"/>
      <w:bookmarkStart w:id="570" w:name="_Toc16026"/>
      <w:r>
        <w:rPr>
          <w:rFonts w:hint="eastAsia" w:cs="Arial"/>
          <w:bCs w:val="0"/>
          <w:color w:val="000000"/>
          <w:sz w:val="28"/>
          <w:szCs w:val="28"/>
        </w:rPr>
        <w:t>电话技术支持</w:t>
      </w:r>
      <w:bookmarkEnd w:id="570"/>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客户通过客户服务电话获得电话技术支持。电话支持包括设备使用指导、故 障排除、技术咨询等。技术支持工程师保证在电话受理后一天内响应处理。</w:t>
      </w:r>
    </w:p>
    <w:p>
      <w:pPr>
        <w:pStyle w:val="4"/>
        <w:numPr>
          <w:ilvl w:val="1"/>
          <w:numId w:val="132"/>
        </w:numPr>
        <w:rPr>
          <w:rFonts w:hint="eastAsia" w:cs="Arial"/>
          <w:bCs w:val="0"/>
          <w:color w:val="000000"/>
          <w:sz w:val="28"/>
          <w:szCs w:val="28"/>
        </w:rPr>
      </w:pPr>
      <w:bookmarkStart w:id="571" w:name="_bookmark330"/>
      <w:bookmarkEnd w:id="571"/>
      <w:bookmarkStart w:id="572" w:name="_Toc3933"/>
      <w:r>
        <w:rPr>
          <w:rFonts w:hint="eastAsia" w:cs="Arial"/>
          <w:bCs w:val="0"/>
          <w:color w:val="000000"/>
          <w:sz w:val="28"/>
          <w:szCs w:val="28"/>
        </w:rPr>
        <w:t>远程故障诊断</w:t>
      </w:r>
      <w:bookmarkEnd w:id="572"/>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客户通过电话或传真向我司寻求技术支持和帮助， 我司在确认用户服务请求后， 通过服务项目“电话故障诊断”不能解决设备故障问题时，根据需要并征得客户同意后，采用远程登录方式， 将客户设备与工程师所在地终端连通， 在远端对设备进行诊断， 提出问题解决方案，并最终指导用户解决问题。</w:t>
      </w:r>
    </w:p>
    <w:p>
      <w:pPr>
        <w:pStyle w:val="4"/>
        <w:numPr>
          <w:ilvl w:val="1"/>
          <w:numId w:val="132"/>
        </w:numPr>
        <w:rPr>
          <w:rFonts w:hint="eastAsia" w:cs="Arial"/>
          <w:bCs w:val="0"/>
          <w:color w:val="000000"/>
          <w:sz w:val="28"/>
          <w:szCs w:val="28"/>
        </w:rPr>
      </w:pPr>
      <w:bookmarkStart w:id="573" w:name="_bookmark331"/>
      <w:bookmarkEnd w:id="573"/>
      <w:bookmarkStart w:id="574" w:name="_Toc22827"/>
      <w:r>
        <w:rPr>
          <w:rFonts w:hint="eastAsia" w:cs="Arial"/>
          <w:bCs w:val="0"/>
          <w:color w:val="000000"/>
          <w:sz w:val="28"/>
          <w:szCs w:val="28"/>
        </w:rPr>
        <w:t>现场故障排除</w:t>
      </w:r>
      <w:bookmarkEnd w:id="574"/>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使用视频监控系统时，遇到疑难问题或者设备出现不正常状态，通过电话或传真向我司寻求技术支持和帮助，我司在确认用户的服务请求后，如果不能通过服务项目“电话故障诊 断”和“远程故障诊 断”解决设备故障，在经过双方商议确定需要进行现场故障排除后， 我司将派遣经验丰富的工程师赴现场分析故障原因，制定故障排除方案，并最终排除故障。</w:t>
      </w:r>
    </w:p>
    <w:p>
      <w:pPr>
        <w:pStyle w:val="4"/>
        <w:numPr>
          <w:ilvl w:val="1"/>
          <w:numId w:val="132"/>
        </w:numPr>
        <w:rPr>
          <w:rFonts w:hint="eastAsia" w:cs="Arial"/>
          <w:bCs w:val="0"/>
          <w:color w:val="000000"/>
          <w:sz w:val="28"/>
          <w:szCs w:val="28"/>
        </w:rPr>
      </w:pPr>
      <w:bookmarkStart w:id="575" w:name="_Toc2733"/>
      <w:r>
        <w:rPr>
          <w:rFonts w:hint="eastAsia" w:cs="Arial"/>
          <w:bCs w:val="0"/>
          <w:color w:val="000000"/>
          <w:sz w:val="28"/>
          <w:szCs w:val="28"/>
        </w:rPr>
        <w:t>硬件故障修复</w:t>
      </w:r>
      <w:bookmarkEnd w:id="575"/>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硬件故障修复是指我司对客户设备硬件故障件进行返修或更换，使其恢复正常功能的服务。我司提供7*24小时的硬件故障修复服务。对于客户送修的设备， 我司须在15个工作日修好，并邮寄给客户。对不能及时修复的硬件，我司将及时提供备件使设备恢复正常功能。</w:t>
      </w:r>
    </w:p>
    <w:p>
      <w:pPr>
        <w:pStyle w:val="4"/>
        <w:numPr>
          <w:ilvl w:val="1"/>
          <w:numId w:val="132"/>
        </w:numPr>
        <w:rPr>
          <w:rFonts w:hint="eastAsia" w:cs="Arial"/>
          <w:bCs w:val="0"/>
          <w:color w:val="000000"/>
          <w:sz w:val="28"/>
          <w:szCs w:val="28"/>
        </w:rPr>
      </w:pPr>
      <w:bookmarkStart w:id="576" w:name="_bookmark333"/>
      <w:bookmarkEnd w:id="576"/>
      <w:bookmarkStart w:id="577" w:name="_Toc16343"/>
      <w:r>
        <w:rPr>
          <w:rFonts w:hint="eastAsia" w:cs="Arial"/>
          <w:bCs w:val="0"/>
          <w:color w:val="000000"/>
          <w:sz w:val="28"/>
          <w:szCs w:val="28"/>
        </w:rPr>
        <w:t>维修方案</w:t>
      </w:r>
      <w:bookmarkEnd w:id="577"/>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在设备质量保证期内，所投设备发生质量问题，我公司在质保期结束前无偿提供 7*24 小时远程技术热线，确保设备安全、正常运行。服务人员应了解掌握设备的工作原理和性能，有现场工作经验，能够正确地与招标方沟通，进行现场指导。</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远程无法快速解决问题的，我方将安排就近专业维护人员，快速到达故障地址，现场排障，保证2小时内分析障碍原因，无需更换设备解决的障碍，8小时内排障，需更换设备的，启动备品备件库，8小时内完成更换、联调和测试工作。</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在设备质量保证期内，我司将以最快的速度免费维修或更换有缺陷的货物或部件。并以不高于本次成交价格长期、优先提供追加的零配件或设备。</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在设备质量保证期内，我公司将指定专人为本系统提供售后维护服务，并定期到现场走 访，对设备给予检查维护。</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在质保期结束前， 我公司将对所有设备进行全面保养维护。维护内容包括： 检查所有设备及设备间各类连接件，确保所有设备的正常使用。</w:t>
      </w:r>
    </w:p>
    <w:p>
      <w:pPr>
        <w:pStyle w:val="4"/>
        <w:numPr>
          <w:ilvl w:val="1"/>
          <w:numId w:val="132"/>
        </w:numPr>
        <w:rPr>
          <w:rFonts w:hint="eastAsia" w:cs="Arial"/>
          <w:bCs w:val="0"/>
          <w:color w:val="000000"/>
          <w:sz w:val="28"/>
          <w:szCs w:val="28"/>
        </w:rPr>
      </w:pPr>
      <w:bookmarkStart w:id="578" w:name="_bookmark334"/>
      <w:bookmarkEnd w:id="578"/>
      <w:bookmarkStart w:id="579" w:name="_Toc8187"/>
      <w:r>
        <w:rPr>
          <w:rFonts w:hint="eastAsia" w:cs="Arial"/>
          <w:bCs w:val="0"/>
          <w:color w:val="000000"/>
          <w:sz w:val="28"/>
          <w:szCs w:val="28"/>
        </w:rPr>
        <w:t>备件替换</w:t>
      </w:r>
      <w:bookmarkEnd w:id="579"/>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建立备品备件库，贮备足够的备品备件，在遇到设备硬件故障时，将为客户及时提供备件替换。 备品备件库专人管理，备品备件库存常态化，备品的库存和更换要备案，保障设备在保质期内，设备出现故障时，在响应时限内完成备品备件的出库和更换。</w:t>
      </w:r>
    </w:p>
    <w:p>
      <w:pPr>
        <w:pStyle w:val="4"/>
        <w:numPr>
          <w:ilvl w:val="1"/>
          <w:numId w:val="132"/>
        </w:numPr>
        <w:rPr>
          <w:rFonts w:hint="eastAsia" w:cs="Arial"/>
          <w:bCs w:val="0"/>
          <w:color w:val="000000"/>
          <w:sz w:val="28"/>
          <w:szCs w:val="28"/>
        </w:rPr>
      </w:pPr>
      <w:bookmarkStart w:id="580" w:name="_bookmark335"/>
      <w:bookmarkEnd w:id="580"/>
      <w:bookmarkStart w:id="581" w:name="_Toc10904"/>
      <w:r>
        <w:rPr>
          <w:rFonts w:hint="eastAsia" w:cs="Arial"/>
          <w:bCs w:val="0"/>
          <w:color w:val="000000"/>
          <w:sz w:val="28"/>
          <w:szCs w:val="28"/>
        </w:rPr>
        <w:t>软件升级</w:t>
      </w:r>
      <w:bookmarkEnd w:id="581"/>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客户有权要求我司对维保设备的软件版本进行升级。如我司提出软件版本升级需求， 必须征得客户同意。所有维保设备的软件版本升级服务严格按客户现场使用情况和软件产品发布要求执行。</w:t>
      </w:r>
    </w:p>
    <w:p>
      <w:pPr>
        <w:pStyle w:val="4"/>
        <w:numPr>
          <w:ilvl w:val="1"/>
          <w:numId w:val="132"/>
        </w:numPr>
        <w:rPr>
          <w:rFonts w:hint="eastAsia" w:cs="Arial"/>
          <w:bCs w:val="0"/>
          <w:color w:val="000000"/>
          <w:sz w:val="28"/>
          <w:szCs w:val="28"/>
        </w:rPr>
      </w:pPr>
      <w:bookmarkStart w:id="582" w:name="_Toc19410"/>
      <w:r>
        <w:rPr>
          <w:rFonts w:hint="eastAsia" w:cs="Arial"/>
          <w:bCs w:val="0"/>
          <w:color w:val="000000"/>
          <w:sz w:val="28"/>
          <w:szCs w:val="28"/>
        </w:rPr>
        <w:t>现场巡检</w:t>
      </w:r>
      <w:bookmarkEnd w:id="582"/>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我司将安排工程师协助客户定期对网上运行的设备实施现场检查，及时发现设备运行中出现的隐患，降低设备发生故障的概率，保证设备的稳定运行，保证网络运行质量。</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我司承诺协助客户每季度进行一次现场巡检，由双方商定具体时间和地点。</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巡检服务包括我司设备硬件检查、软件检查、环境检查三项内容，并制定详细的巡检报 告。 在设备巡检过程中发现的问题，按照我司故障分类标准，进行相应的故障排除。</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通过巡检能够及时发现并排除故障隐患，有效保证客户系统的正常运行。</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定期的系统和数据备份可以快速恢复业务应用，一旦系统故障可以把损失的风险降到最小。</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经常化、制度化的巡检可以保持双方技术人员的活跃接触，有更多的机会交流在系统使用及系统维护方面的经验，有利于提高系统维护的效率。</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定期巡检与检测服务支持内容：</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系统发布内容的检查监控</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系统目录及数据的异地或异机备份的安全</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分析系统日志和统计信息，预防问题的发生</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产品补丁的安装</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数据库空间监控、规划及管理</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数据库常见问题的分析、诊断及解决</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数据库性能的评估、监测和调整</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系统资源的监控及管理</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数据库安全及用户的管理</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定期巡检与检测服务可以享受到以下好处</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加快应用系统的实施周期</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规范化客户的数据库维护工作</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最大限度地提高系统的可用性</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通过高水平的系统维护最大限度的降低系统停机的时间</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在现场进行数据库的监控和信息的收集，缩短问题的解决时间</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完善和增强现有系统维护人员的能力</w:t>
      </w:r>
    </w:p>
    <w:p>
      <w:pPr>
        <w:numPr>
          <w:ilvl w:val="0"/>
          <w:numId w:val="148"/>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得到专门的技术支持资源，保证技术支持工程师熟悉现场的配置和环境</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定期巡检与检测服务承诺：</w:t>
      </w:r>
    </w:p>
    <w:p>
      <w:pPr>
        <w:numPr>
          <w:ilvl w:val="0"/>
          <w:numId w:val="149"/>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定期对系统进行全面的检查，给出详细的报告，根据检查结果给出相应建议和改进方案 检查并分析系统日志及跟踪文件，发现并排除数据库系统错误隐患系统资源的监控及管理</w:t>
      </w:r>
    </w:p>
    <w:p>
      <w:pPr>
        <w:numPr>
          <w:ilvl w:val="0"/>
          <w:numId w:val="149"/>
        </w:numPr>
        <w:tabs>
          <w:tab w:val="left" w:pos="180"/>
        </w:tabs>
        <w:spacing w:line="360" w:lineRule="auto"/>
        <w:ind w:left="1360" w:leftChars="0" w:hanging="425" w:firstLineChars="0"/>
        <w:rPr>
          <w:rFonts w:hint="eastAsia" w:hAnsi="宋体" w:cs="Arial"/>
          <w:color w:val="000000"/>
          <w:sz w:val="24"/>
          <w:lang w:val="en-US" w:eastAsia="zh-CN"/>
        </w:rPr>
      </w:pPr>
      <w:r>
        <w:rPr>
          <w:rFonts w:hint="eastAsia" w:hAnsi="宋体" w:cs="Arial"/>
          <w:color w:val="000000"/>
          <w:sz w:val="24"/>
          <w:lang w:val="en-US" w:eastAsia="zh-CN"/>
        </w:rPr>
        <w:t>提出检查报告和建议以及改进方案</w:t>
      </w:r>
    </w:p>
    <w:p>
      <w:pPr>
        <w:pStyle w:val="4"/>
        <w:numPr>
          <w:ilvl w:val="1"/>
          <w:numId w:val="132"/>
        </w:numPr>
        <w:rPr>
          <w:rFonts w:hint="eastAsia" w:cs="Arial"/>
          <w:bCs w:val="0"/>
          <w:color w:val="000000"/>
          <w:sz w:val="28"/>
          <w:szCs w:val="28"/>
        </w:rPr>
      </w:pPr>
      <w:bookmarkStart w:id="583" w:name="_Toc7780"/>
      <w:r>
        <w:rPr>
          <w:rFonts w:hint="eastAsia" w:cs="Arial"/>
          <w:bCs w:val="0"/>
          <w:color w:val="000000"/>
          <w:sz w:val="28"/>
          <w:szCs w:val="28"/>
        </w:rPr>
        <w:t>维护服务监督</w:t>
      </w:r>
      <w:bookmarkEnd w:id="583"/>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客户可随时拨打电话，对公司的服务提出批评和建议，公司将热情接待每一位客户，认真听取客户的意见，并将处理结果及时反馈给客户。</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本公司设有专门的服务监督机构，由主管服务的副总经理全面负责。服务监督机构不定期以各种方式向客户征询对公司服务的意见和建议，并送交服务相关部门，及时反馈给客户。</w:t>
      </w:r>
    </w:p>
    <w:p>
      <w:pPr>
        <w:numPr>
          <w:ilvl w:val="0"/>
          <w:numId w:val="0"/>
        </w:numPr>
        <w:tabs>
          <w:tab w:val="left" w:pos="180"/>
        </w:tabs>
        <w:spacing w:line="360" w:lineRule="auto"/>
        <w:ind w:firstLine="480" w:firstLineChars="200"/>
        <w:rPr>
          <w:rFonts w:hint="eastAsia" w:hAnsi="宋体" w:cs="Arial"/>
          <w:color w:val="000000"/>
          <w:sz w:val="24"/>
          <w:lang w:val="en-US" w:eastAsia="zh-CN"/>
        </w:rPr>
      </w:pPr>
      <w:r>
        <w:rPr>
          <w:rFonts w:hint="eastAsia" w:hAnsi="宋体" w:cs="Arial"/>
          <w:color w:val="000000"/>
          <w:sz w:val="24"/>
          <w:lang w:val="en-US" w:eastAsia="zh-CN"/>
        </w:rPr>
        <w:t>对内部，服务监督机构定期对公司整体的服务质量进行评定，提出改进建议。同时对服务工程师的服务质量、技术水平等进行综合评定，将评定结果提交相关部门作为评定工程师工作业绩的重要依据。</w:t>
      </w:r>
    </w:p>
    <w:p>
      <w:pPr>
        <w:rPr>
          <w:rFonts w:hint="eastAsia" w:cs="Arial"/>
          <w:bCs w:val="0"/>
          <w:color w:val="000000"/>
          <w:sz w:val="32"/>
          <w:szCs w:val="32"/>
        </w:rPr>
      </w:pPr>
      <w:r>
        <w:rPr>
          <w:rFonts w:hint="eastAsia" w:cs="Arial"/>
          <w:color w:val="000000"/>
          <w:sz w:val="32"/>
          <w:szCs w:val="32"/>
          <w:lang w:val="en-US" w:eastAsia="zh-CN"/>
        </w:rPr>
        <w:br w:type="page"/>
      </w:r>
    </w:p>
    <w:p>
      <w:pPr>
        <w:pStyle w:val="2"/>
        <w:numPr>
          <w:ilvl w:val="0"/>
          <w:numId w:val="2"/>
        </w:numPr>
        <w:tabs>
          <w:tab w:val="left" w:pos="1800"/>
          <w:tab w:val="clear" w:pos="2175"/>
        </w:tabs>
        <w:ind w:left="1800" w:hanging="1800"/>
        <w:jc w:val="center"/>
        <w:rPr>
          <w:rFonts w:hint="eastAsia" w:cs="Arial"/>
          <w:bCs w:val="0"/>
          <w:color w:val="000000"/>
          <w:sz w:val="32"/>
          <w:szCs w:val="32"/>
        </w:rPr>
      </w:pPr>
      <w:bookmarkStart w:id="584" w:name="_Toc22427"/>
      <w:r>
        <w:rPr>
          <w:rFonts w:hint="eastAsia" w:cs="Arial"/>
          <w:color w:val="000000"/>
          <w:sz w:val="32"/>
          <w:szCs w:val="32"/>
          <w:lang w:val="en-US" w:eastAsia="zh-CN"/>
        </w:rPr>
        <w:t>安全文明生产方案</w:t>
      </w:r>
      <w:bookmarkEnd w:id="584"/>
    </w:p>
    <w:p>
      <w:pPr>
        <w:pStyle w:val="3"/>
        <w:numPr>
          <w:ilvl w:val="1"/>
          <w:numId w:val="2"/>
        </w:numPr>
        <w:rPr>
          <w:rFonts w:hint="eastAsia" w:ascii="宋体" w:hAnsi="宋体" w:eastAsia="宋体" w:cs="Arial"/>
          <w:bCs w:val="0"/>
          <w:color w:val="000000"/>
          <w:sz w:val="30"/>
          <w:szCs w:val="30"/>
        </w:rPr>
      </w:pPr>
      <w:bookmarkStart w:id="585" w:name="_Toc24098"/>
      <w:r>
        <w:rPr>
          <w:rFonts w:ascii="宋体" w:hAnsi="宋体" w:eastAsia="宋体" w:cs="Arial"/>
          <w:bCs w:val="0"/>
          <w:color w:val="000000"/>
          <w:sz w:val="30"/>
          <w:szCs w:val="30"/>
        </w:rPr>
        <w:t>施工安全目标</w:t>
      </w:r>
      <w:r>
        <w:rPr>
          <w:rFonts w:hint="eastAsia" w:ascii="宋体" w:hAnsi="宋体" w:eastAsia="宋体" w:cs="Arial"/>
          <w:bCs w:val="0"/>
          <w:color w:val="000000"/>
          <w:sz w:val="30"/>
          <w:szCs w:val="30"/>
          <w:lang w:val="en-US" w:eastAsia="zh-CN"/>
        </w:rPr>
        <w:t>及保障措施</w:t>
      </w:r>
      <w:bookmarkEnd w:id="585"/>
    </w:p>
    <w:p>
      <w:pPr>
        <w:pStyle w:val="4"/>
        <w:numPr>
          <w:ilvl w:val="1"/>
          <w:numId w:val="150"/>
        </w:numPr>
        <w:rPr>
          <w:rFonts w:hint="eastAsia" w:ascii="宋体" w:hAnsi="宋体"/>
          <w:sz w:val="28"/>
          <w:szCs w:val="28"/>
        </w:rPr>
      </w:pPr>
      <w:bookmarkStart w:id="586" w:name="_Toc9533"/>
      <w:r>
        <w:rPr>
          <w:rFonts w:hint="eastAsia" w:hAnsi="宋体" w:cs="Arial"/>
          <w:bCs w:val="0"/>
          <w:color w:val="000000"/>
          <w:sz w:val="28"/>
          <w:szCs w:val="28"/>
          <w:lang w:val="en-US" w:eastAsia="zh-CN"/>
        </w:rPr>
        <w:t>施工安全目标</w:t>
      </w:r>
      <w:bookmarkEnd w:id="586"/>
    </w:p>
    <w:p>
      <w:pPr>
        <w:spacing w:line="360" w:lineRule="auto"/>
        <w:ind w:firstLine="480"/>
        <w:rPr>
          <w:rFonts w:hint="eastAsia" w:ascii="宋体" w:hAnsi="宋体" w:cs="Arial"/>
          <w:color w:val="000000"/>
          <w:sz w:val="24"/>
        </w:rPr>
      </w:pPr>
      <w:r>
        <w:rPr>
          <w:rFonts w:ascii="宋体" w:hAnsi="宋体" w:cs="Arial"/>
          <w:color w:val="000000"/>
          <w:sz w:val="24"/>
        </w:rPr>
        <w:t>安全文明生产是施工项目重要的控制目标之一，也是衡量施工项目管理水平的重要标志。我公司一向重视安全生产，并把它作为施工中的重要任务。针对</w:t>
      </w:r>
      <w:r>
        <w:rPr>
          <w:rFonts w:hint="eastAsia" w:ascii="宋体" w:hAnsi="宋体" w:cs="Arial"/>
          <w:color w:val="000000"/>
          <w:sz w:val="24"/>
        </w:rPr>
        <w:t>长安大学图文信息中心弱电</w:t>
      </w:r>
      <w:r>
        <w:rPr>
          <w:rFonts w:ascii="宋体" w:hAnsi="宋体" w:cs="Arial"/>
          <w:color w:val="000000"/>
          <w:sz w:val="24"/>
        </w:rPr>
        <w:t>系统工程，我们制订的安全目标是消灭重大伤亡事故，减少轻伤事故，轻伤率控制在1‰以下。</w:t>
      </w:r>
    </w:p>
    <w:p>
      <w:pPr>
        <w:pStyle w:val="4"/>
        <w:numPr>
          <w:ilvl w:val="1"/>
          <w:numId w:val="150"/>
        </w:numPr>
        <w:rPr>
          <w:rFonts w:hint="eastAsia" w:hAnsi="宋体" w:cs="Arial"/>
          <w:bCs w:val="0"/>
          <w:color w:val="000000"/>
          <w:sz w:val="28"/>
          <w:szCs w:val="28"/>
          <w:lang w:val="en-US" w:eastAsia="zh-CN"/>
        </w:rPr>
      </w:pPr>
      <w:bookmarkStart w:id="587" w:name="_Toc11337"/>
      <w:bookmarkStart w:id="588" w:name="_Toc9723"/>
      <w:bookmarkStart w:id="589" w:name="_Toc2853"/>
      <w:bookmarkStart w:id="590" w:name="_Toc6901"/>
      <w:bookmarkStart w:id="591" w:name="_Toc25886"/>
      <w:r>
        <w:rPr>
          <w:rFonts w:hint="eastAsia" w:hAnsi="宋体" w:cs="Arial"/>
          <w:bCs w:val="0"/>
          <w:color w:val="000000"/>
          <w:sz w:val="28"/>
          <w:szCs w:val="28"/>
          <w:lang w:val="en-US" w:eastAsia="zh-CN"/>
        </w:rPr>
        <w:t>施工安全组织保证措施</w:t>
      </w:r>
      <w:bookmarkEnd w:id="587"/>
      <w:bookmarkEnd w:id="588"/>
      <w:bookmarkEnd w:id="589"/>
      <w:bookmarkEnd w:id="590"/>
      <w:bookmarkEnd w:id="591"/>
    </w:p>
    <w:p>
      <w:pPr>
        <w:spacing w:line="360" w:lineRule="auto"/>
        <w:rPr>
          <w:rFonts w:ascii="宋体" w:hAnsi="宋体" w:cs="Arial"/>
          <w:color w:val="000000"/>
          <w:sz w:val="24"/>
        </w:rPr>
      </w:pPr>
      <w:r>
        <w:rPr>
          <w:rFonts w:ascii="宋体" w:hAnsi="宋体" w:cs="Arial"/>
          <w:color w:val="000000"/>
          <w:sz w:val="24"/>
        </w:rPr>
        <w:t xml:space="preserve">    安全管理的中心问题是保护生产活动中人的安全与健康，保证生产的顺利进行。尤其对</w:t>
      </w:r>
      <w:r>
        <w:rPr>
          <w:rFonts w:hint="eastAsia" w:ascii="宋体" w:hAnsi="宋体" w:cs="Arial"/>
          <w:color w:val="000000"/>
          <w:sz w:val="24"/>
        </w:rPr>
        <w:t>西岳庙安防</w:t>
      </w:r>
      <w:r>
        <w:rPr>
          <w:rFonts w:ascii="宋体" w:hAnsi="宋体" w:cs="Arial"/>
          <w:color w:val="000000"/>
          <w:sz w:val="24"/>
        </w:rPr>
        <w:t>系统工程，由于工期紧、质量要求高，更加容易发生各种为了追求施工进度、质量而忽视安全的问题。为了杜绝这种情况的发生，确保施工的顺利进行，我公司将坚持安全管理“管生产同时管安全、坚持安全管理的目的性、贯彻预防为主的方针、坚持四全管理、重在控制、在管理中发展提高”六项基本原则。在保证质量和速度的同时采取相应具体措施以保证安全目标的实现。</w:t>
      </w:r>
    </w:p>
    <w:p>
      <w:pPr>
        <w:numPr>
          <w:ilvl w:val="0"/>
          <w:numId w:val="151"/>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建立、完善以项目经理为首的安全生产领导组织，有组织、有领导的开展安全管理活动，承担组织、领导安全生产的责任。</w:t>
      </w:r>
    </w:p>
    <w:p>
      <w:pPr>
        <w:numPr>
          <w:ilvl w:val="0"/>
          <w:numId w:val="151"/>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严格和完善安全生产责任制，落实安全生产五项制度（即：安全生产责任制；安全技术定期检查制度；安全生产教育、安全技术交底制度；安全生产的定期检查制度；伤亡事故的调查制度）。</w:t>
      </w:r>
    </w:p>
    <w:p>
      <w:pPr>
        <w:numPr>
          <w:ilvl w:val="0"/>
          <w:numId w:val="151"/>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建立各级人员安全人员责任制，明确各级人员的安全责任，抓制度落实、抓责任落实、定期检查安全责任落实情况并及时处理。</w:t>
      </w:r>
    </w:p>
    <w:p>
      <w:pPr>
        <w:numPr>
          <w:ilvl w:val="0"/>
          <w:numId w:val="151"/>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对所有管理、施工人员进行安全教育与训练，提高全员安全生产意识，将由于人不安全行为导致产生的安全事故降至最低。</w:t>
      </w:r>
    </w:p>
    <w:p>
      <w:pPr>
        <w:numPr>
          <w:ilvl w:val="0"/>
          <w:numId w:val="151"/>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坚持实施安全检查制度，每周对现场质量、安全、防火及文明施工巡视一次，及时发现工地的隐患及苗头，及时记录、及时整改、及时复检，该罚则罚、该处理的处理，坚持“三不放过”的原则。做到个人行为与经济效益挂钩。同时进行不定期的突击检查。</w:t>
      </w:r>
    </w:p>
    <w:p>
      <w:pPr>
        <w:numPr>
          <w:ilvl w:val="0"/>
          <w:numId w:val="151"/>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坚持作业标准化，不难为了图快而忽略必要的操作步骤。按照科学的作业标准规范施工人员的行为，防止由于人的不安全行为导致事故的发生。</w:t>
      </w:r>
    </w:p>
    <w:p>
      <w:pPr>
        <w:pStyle w:val="4"/>
        <w:numPr>
          <w:ilvl w:val="1"/>
          <w:numId w:val="150"/>
        </w:numPr>
        <w:rPr>
          <w:rFonts w:hint="eastAsia" w:hAnsi="宋体" w:cs="Arial"/>
          <w:bCs w:val="0"/>
          <w:color w:val="000000"/>
          <w:sz w:val="28"/>
          <w:szCs w:val="28"/>
          <w:lang w:val="en-US" w:eastAsia="zh-CN"/>
        </w:rPr>
      </w:pPr>
      <w:bookmarkStart w:id="592" w:name="_Toc31930"/>
      <w:r>
        <w:rPr>
          <w:rFonts w:hint="eastAsia" w:hAnsi="宋体" w:cs="Arial"/>
          <w:bCs w:val="0"/>
          <w:color w:val="000000"/>
          <w:sz w:val="28"/>
          <w:szCs w:val="28"/>
          <w:lang w:val="en-US" w:eastAsia="zh-CN"/>
        </w:rPr>
        <w:t>施工安全技术证措施</w:t>
      </w:r>
      <w:bookmarkEnd w:id="592"/>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本工程以作好漏电保护、防机械伤害、高空坠落物体及防火为安全生产的重点，在制定施工方案或作业计划时，应按不同的施工阶段有所侧重，提出防范措施，并向所有施工人员作好安全技术交底，切实作好事故预防工作，确保生产安全。</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进入现场人员配备安全帽、安全带，并按操作规程施工，凡作业高度在2米以上时，都必须使用牢固的梯子，并进行双人作业。</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施工用电须遵照安全用电规定，在合理的位置设置配电箱，作好接零、接地工作，合理布线，凡手持电动工具必须设漏电保护装置，在潮湿地点或表盘内作业必须穿绝缘鞋。</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使用的机具设备应加强维修和保养，保持状态良好，以确保安全生产。</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严格执行现场出入制度，施工人员出入现场应主动出示证件，禁止无关人员出入现场，保证正常的施工秩序不受干扰。</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所有安装材料、设备，按指定地点堆放，贵重器材、设备入库，由专人保管，严格领发制度及交接手续，防止丢失。</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机房设备安装就位前，应安装好门窗，设专人看管，加强防范工作，避免造成损坏丢失。</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施工人员要严格执行现场消防制度，建立健全消防组织，专职消防人员要经常进行现场巡回检查，如有异常立即向上级汇报。</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严格执行现场用火制度，主动接受消防人员检查。电、气焊用火前先办理动火证。进入现场不得随意吸烟，对易燃材料要集中管理，作好标识。</w:t>
      </w:r>
    </w:p>
    <w:p>
      <w:pPr>
        <w:numPr>
          <w:ilvl w:val="0"/>
          <w:numId w:val="152"/>
        </w:numPr>
        <w:tabs>
          <w:tab w:val="left" w:pos="900"/>
          <w:tab w:val="clear" w:pos="420"/>
        </w:tabs>
        <w:spacing w:line="360" w:lineRule="auto"/>
        <w:ind w:left="900" w:hanging="540"/>
        <w:rPr>
          <w:rFonts w:ascii="宋体" w:hAnsi="宋体" w:cs="Arial"/>
          <w:color w:val="000000"/>
          <w:sz w:val="24"/>
        </w:rPr>
      </w:pPr>
      <w:r>
        <w:rPr>
          <w:rFonts w:ascii="宋体" w:hAnsi="宋体" w:cs="Arial"/>
          <w:color w:val="000000"/>
          <w:sz w:val="24"/>
        </w:rPr>
        <w:t>电、气焊工要经常检查使用的工具是否漏电、漏气，运用电焊时，要清除周围易燃物，还应设专人负责查看。</w:t>
      </w:r>
    </w:p>
    <w:p>
      <w:pPr>
        <w:numPr>
          <w:ilvl w:val="0"/>
          <w:numId w:val="152"/>
        </w:numPr>
        <w:tabs>
          <w:tab w:val="left" w:pos="900"/>
          <w:tab w:val="clear" w:pos="420"/>
        </w:tabs>
        <w:spacing w:line="360" w:lineRule="auto"/>
        <w:ind w:left="900" w:hanging="540"/>
        <w:rPr>
          <w:rFonts w:hint="eastAsia" w:ascii="宋体" w:hAnsi="宋体" w:cs="Arial"/>
          <w:color w:val="000000"/>
          <w:sz w:val="24"/>
        </w:rPr>
      </w:pPr>
      <w:r>
        <w:rPr>
          <w:rFonts w:ascii="宋体" w:hAnsi="宋体" w:cs="Arial"/>
          <w:color w:val="000000"/>
          <w:sz w:val="24"/>
        </w:rPr>
        <w:t>对施工期间设置的消防水泵、消防给水管道、消防水箱和消火栓等设施不得任意改装和挪用，严禁在消火栓周围堆放物品，以确保消防设施道路畅通。</w:t>
      </w:r>
    </w:p>
    <w:p>
      <w:pPr>
        <w:numPr>
          <w:ilvl w:val="0"/>
          <w:numId w:val="152"/>
        </w:numPr>
        <w:tabs>
          <w:tab w:val="left" w:pos="900"/>
          <w:tab w:val="clear" w:pos="420"/>
        </w:tabs>
        <w:spacing w:line="360" w:lineRule="auto"/>
        <w:ind w:left="900" w:hanging="540"/>
        <w:rPr>
          <w:rFonts w:hint="eastAsia" w:ascii="宋体" w:hAnsi="宋体" w:cs="Arial"/>
          <w:color w:val="000000"/>
          <w:sz w:val="24"/>
        </w:rPr>
      </w:pPr>
      <w:r>
        <w:rPr>
          <w:rFonts w:hint="eastAsia" w:ascii="宋体" w:hAnsi="宋体" w:cs="Arial"/>
          <w:color w:val="000000"/>
          <w:sz w:val="24"/>
        </w:rPr>
        <w:t>安全生产检查制度</w:t>
      </w:r>
    </w:p>
    <w:p>
      <w:pPr>
        <w:numPr>
          <w:ilvl w:val="2"/>
          <w:numId w:val="153"/>
        </w:numPr>
        <w:spacing w:line="360" w:lineRule="auto"/>
        <w:rPr>
          <w:rFonts w:hint="eastAsia" w:ascii="宋体" w:hAnsi="宋体" w:cs="Arial"/>
          <w:color w:val="000000"/>
          <w:sz w:val="24"/>
        </w:rPr>
      </w:pPr>
      <w:r>
        <w:rPr>
          <w:rFonts w:hint="eastAsia" w:ascii="宋体" w:hAnsi="宋体"/>
          <w:sz w:val="24"/>
        </w:rPr>
        <w:t>公司各级的安全检查工作，分别由主管生产的经理负责组织领导。</w:t>
      </w:r>
    </w:p>
    <w:p>
      <w:pPr>
        <w:numPr>
          <w:ilvl w:val="2"/>
          <w:numId w:val="153"/>
        </w:numPr>
        <w:spacing w:line="360" w:lineRule="auto"/>
        <w:rPr>
          <w:rFonts w:hint="eastAsia" w:ascii="宋体" w:hAnsi="宋体" w:cs="Arial"/>
          <w:color w:val="000000"/>
          <w:sz w:val="24"/>
        </w:rPr>
      </w:pPr>
      <w:r>
        <w:rPr>
          <w:rFonts w:hint="eastAsia" w:ascii="宋体" w:hAnsi="宋体"/>
          <w:sz w:val="24"/>
        </w:rPr>
        <w:t>公司技术部门，应协助领导做好安全检查工作，经常汇报情况，总结和推广安全工作中的经验。</w:t>
      </w:r>
    </w:p>
    <w:p>
      <w:pPr>
        <w:numPr>
          <w:ilvl w:val="2"/>
          <w:numId w:val="153"/>
        </w:numPr>
        <w:spacing w:line="360" w:lineRule="auto"/>
        <w:rPr>
          <w:rFonts w:hint="eastAsia" w:ascii="宋体" w:hAnsi="宋体" w:cs="Arial"/>
          <w:color w:val="000000"/>
          <w:sz w:val="24"/>
        </w:rPr>
      </w:pPr>
      <w:r>
        <w:rPr>
          <w:rFonts w:hint="eastAsia" w:ascii="宋体" w:hAnsi="宋体"/>
          <w:sz w:val="24"/>
        </w:rPr>
        <w:t>安全检查的基本内容：安全技术劳动保护政策、法令、规定、制度和安全措施的贯彻执行情况；安全技术知识的学习及思想教育情况；机械、电气、运输工具的安全防护设施；高空作业的安全防护设施；季节性的防寒、防暑、防爆、防洪工作；施工现场保卫及其他有关安全事项。</w:t>
      </w:r>
    </w:p>
    <w:p>
      <w:pPr>
        <w:numPr>
          <w:ilvl w:val="2"/>
          <w:numId w:val="153"/>
        </w:numPr>
        <w:spacing w:line="360" w:lineRule="auto"/>
        <w:rPr>
          <w:rFonts w:hint="eastAsia" w:ascii="宋体" w:hAnsi="宋体" w:cs="Arial"/>
          <w:color w:val="000000"/>
          <w:sz w:val="24"/>
        </w:rPr>
      </w:pPr>
      <w:r>
        <w:rPr>
          <w:rFonts w:hint="eastAsia" w:ascii="宋体" w:hAnsi="宋体"/>
          <w:sz w:val="24"/>
        </w:rPr>
        <w:t>定期检查：A、公司每季度进行一次安全大检查，由工程副总经理组织有关人员参加。B、项目经理部每月进行一次安全卫生大检查，由生产经理组织有关人员参加。</w:t>
      </w:r>
    </w:p>
    <w:p>
      <w:pPr>
        <w:numPr>
          <w:ilvl w:val="2"/>
          <w:numId w:val="153"/>
        </w:numPr>
        <w:spacing w:line="360" w:lineRule="auto"/>
        <w:rPr>
          <w:rFonts w:hint="eastAsia" w:ascii="宋体" w:hAnsi="宋体" w:cs="Arial"/>
          <w:color w:val="000000"/>
          <w:sz w:val="24"/>
        </w:rPr>
      </w:pPr>
      <w:r>
        <w:rPr>
          <w:rFonts w:hint="eastAsia" w:ascii="宋体" w:hAnsi="宋体"/>
          <w:sz w:val="24"/>
        </w:rPr>
        <w:t>专业检查，公司应根据季节特点和各个时期存在的主要问题,组织专业性的安全检查。</w:t>
      </w:r>
    </w:p>
    <w:p>
      <w:pPr>
        <w:numPr>
          <w:ilvl w:val="2"/>
          <w:numId w:val="153"/>
        </w:numPr>
        <w:spacing w:line="360" w:lineRule="auto"/>
        <w:rPr>
          <w:rFonts w:hint="eastAsia" w:ascii="宋体" w:hAnsi="宋体" w:cs="Arial"/>
          <w:color w:val="000000"/>
          <w:sz w:val="24"/>
        </w:rPr>
      </w:pPr>
      <w:r>
        <w:rPr>
          <w:rFonts w:hint="eastAsia" w:ascii="宋体" w:hAnsi="宋体"/>
          <w:sz w:val="24"/>
        </w:rPr>
        <w:t>经常性的检查：A、各级施工人员，要检查生产的同时，应认真检查安全措施和工人遵守安全操作规程的情况。B、各级专业、兼职技术人员，应经常深入现场检查，发现问题及时提出处理意见，帮助施工队搞好安全施工，贯彻预防为主的方针。C、施工工长应坚持上班前安全交底和经常性的岗位检查，如有不能解决的问题，应及时上报。</w:t>
      </w:r>
    </w:p>
    <w:p>
      <w:pPr>
        <w:numPr>
          <w:ilvl w:val="2"/>
          <w:numId w:val="153"/>
        </w:numPr>
        <w:spacing w:line="360" w:lineRule="auto"/>
        <w:rPr>
          <w:rFonts w:hint="eastAsia" w:ascii="宋体" w:hAnsi="宋体" w:cs="Arial"/>
          <w:color w:val="000000"/>
          <w:sz w:val="24"/>
        </w:rPr>
      </w:pPr>
      <w:r>
        <w:rPr>
          <w:rFonts w:hint="eastAsia" w:ascii="宋体" w:hAnsi="宋体"/>
          <w:sz w:val="24"/>
        </w:rPr>
        <w:t>不论定期或不定期的安全检查，应贯彻领导与群众相结合的原则，取边检查、改进的方法，发现的问题均应定人、定事、定时间限期解决，不能解决的重大问题，必须及时报请上级解决。</w:t>
      </w:r>
    </w:p>
    <w:p>
      <w:pPr>
        <w:numPr>
          <w:ilvl w:val="0"/>
          <w:numId w:val="152"/>
        </w:numPr>
        <w:tabs>
          <w:tab w:val="left" w:pos="900"/>
          <w:tab w:val="clear" w:pos="420"/>
        </w:tabs>
        <w:spacing w:line="360" w:lineRule="auto"/>
        <w:ind w:left="900" w:hanging="540"/>
        <w:rPr>
          <w:rFonts w:hint="eastAsia" w:ascii="宋体" w:hAnsi="宋体" w:cs="Arial"/>
          <w:color w:val="000000"/>
          <w:sz w:val="24"/>
        </w:rPr>
      </w:pPr>
      <w:r>
        <w:rPr>
          <w:rFonts w:hint="eastAsia" w:ascii="宋体" w:hAnsi="宋体" w:cs="Arial"/>
          <w:color w:val="000000"/>
          <w:sz w:val="24"/>
        </w:rPr>
        <w:t>施工现场安全管理制度</w:t>
      </w:r>
    </w:p>
    <w:p>
      <w:pPr>
        <w:numPr>
          <w:ilvl w:val="2"/>
          <w:numId w:val="154"/>
        </w:numPr>
        <w:spacing w:line="360" w:lineRule="auto"/>
        <w:rPr>
          <w:rFonts w:hint="eastAsia" w:ascii="宋体" w:hAnsi="宋体" w:cs="Arial"/>
          <w:color w:val="000000"/>
          <w:sz w:val="24"/>
        </w:rPr>
      </w:pPr>
      <w:r>
        <w:rPr>
          <w:rFonts w:hint="eastAsia" w:ascii="宋体" w:hAnsi="宋体"/>
          <w:sz w:val="24"/>
        </w:rPr>
        <w:t>施工现场在开工前应制定施工组织设计对临时用电编写方案，按施工方案和工艺安排。</w:t>
      </w:r>
    </w:p>
    <w:p>
      <w:pPr>
        <w:numPr>
          <w:ilvl w:val="2"/>
          <w:numId w:val="154"/>
        </w:numPr>
        <w:spacing w:line="360" w:lineRule="auto"/>
        <w:rPr>
          <w:rFonts w:hint="eastAsia" w:ascii="宋体" w:hAnsi="宋体" w:cs="Arial"/>
          <w:color w:val="000000"/>
          <w:sz w:val="24"/>
        </w:rPr>
      </w:pPr>
      <w:r>
        <w:rPr>
          <w:rFonts w:hint="eastAsia" w:ascii="宋体" w:hAnsi="宋体"/>
          <w:sz w:val="24"/>
        </w:rPr>
        <w:t>在施工现场内应设防护设施或危险标志、夜间应有红灯示警。</w:t>
      </w:r>
    </w:p>
    <w:p>
      <w:pPr>
        <w:numPr>
          <w:ilvl w:val="2"/>
          <w:numId w:val="154"/>
        </w:numPr>
        <w:spacing w:line="360" w:lineRule="auto"/>
        <w:rPr>
          <w:rFonts w:hint="eastAsia" w:ascii="宋体" w:hAnsi="宋体" w:cs="Arial"/>
          <w:color w:val="000000"/>
          <w:sz w:val="24"/>
        </w:rPr>
      </w:pPr>
      <w:r>
        <w:rPr>
          <w:rFonts w:hint="eastAsia" w:ascii="宋体" w:hAnsi="宋体"/>
          <w:sz w:val="24"/>
        </w:rPr>
        <w:t>施工现场的一切孔洞（如管道井口、楼梯井口、预留设备口等）必须加设牢固盖板、围栏或安全网等防护设施，加在黑暗处所应设照明和红灯示警。</w:t>
      </w:r>
    </w:p>
    <w:p>
      <w:pPr>
        <w:numPr>
          <w:ilvl w:val="2"/>
          <w:numId w:val="154"/>
        </w:numPr>
        <w:spacing w:line="360" w:lineRule="auto"/>
        <w:rPr>
          <w:rFonts w:hint="eastAsia" w:ascii="宋体" w:hAnsi="宋体" w:cs="Arial"/>
          <w:color w:val="000000"/>
          <w:sz w:val="24"/>
        </w:rPr>
      </w:pPr>
      <w:r>
        <w:rPr>
          <w:rFonts w:hint="eastAsia" w:ascii="宋体" w:hAnsi="宋体"/>
          <w:sz w:val="24"/>
        </w:rPr>
        <w:t>高处作业安全制度：A、高处或管道井口内作业时必须加设牢固的手板及其它防护措施。B、高处作业时所用的工具，应随手装入工具带内，光清理废料、垃圾时应设临时溜槽或垃圾筒，严禁随手向下抛掷一切物品，防止坠落伤人。C、在容易发生人员坠落场所作业时，必须系好安全带。D、进入施工现场必须正确戴好安全帽，严格穿拖鞋或光脚作业工作时间不准打闹、严禁酒后作业。E、施工地点应保持一定亮度，必要时增加人工照明。</w:t>
      </w:r>
    </w:p>
    <w:p>
      <w:pPr>
        <w:numPr>
          <w:ilvl w:val="0"/>
          <w:numId w:val="152"/>
        </w:numPr>
        <w:tabs>
          <w:tab w:val="left" w:pos="900"/>
          <w:tab w:val="clear" w:pos="420"/>
        </w:tabs>
        <w:spacing w:line="360" w:lineRule="auto"/>
        <w:ind w:left="900" w:hanging="540"/>
        <w:rPr>
          <w:rFonts w:hint="eastAsia" w:ascii="宋体" w:hAnsi="宋体" w:cs="Arial"/>
          <w:color w:val="000000"/>
          <w:sz w:val="24"/>
        </w:rPr>
      </w:pPr>
      <w:r>
        <w:rPr>
          <w:rFonts w:hint="eastAsia" w:ascii="宋体" w:hAnsi="宋体" w:cs="Arial"/>
          <w:color w:val="000000"/>
          <w:sz w:val="24"/>
        </w:rPr>
        <w:t>机械安全生产管理制度</w:t>
      </w:r>
    </w:p>
    <w:p>
      <w:pPr>
        <w:numPr>
          <w:ilvl w:val="2"/>
          <w:numId w:val="155"/>
        </w:numPr>
        <w:spacing w:line="360" w:lineRule="auto"/>
        <w:rPr>
          <w:rFonts w:hint="eastAsia" w:ascii="宋体" w:hAnsi="宋体" w:cs="Arial"/>
          <w:color w:val="000000"/>
          <w:sz w:val="24"/>
        </w:rPr>
      </w:pPr>
      <w:r>
        <w:rPr>
          <w:rFonts w:hint="eastAsia" w:ascii="宋体" w:hAnsi="宋体"/>
          <w:sz w:val="24"/>
        </w:rPr>
        <w:t>各种机械应有技术说明书、出厂合格证、安全操作规程、运行履历书等资料和应有安全装置、防护设施等措施，方能使用。</w:t>
      </w:r>
    </w:p>
    <w:p>
      <w:pPr>
        <w:numPr>
          <w:ilvl w:val="2"/>
          <w:numId w:val="155"/>
        </w:numPr>
        <w:spacing w:line="360" w:lineRule="auto"/>
        <w:rPr>
          <w:rFonts w:hint="eastAsia" w:ascii="宋体" w:hAnsi="宋体" w:cs="Arial"/>
          <w:color w:val="000000"/>
          <w:sz w:val="24"/>
        </w:rPr>
      </w:pPr>
      <w:r>
        <w:rPr>
          <w:rFonts w:hint="eastAsia" w:ascii="宋体" w:hAnsi="宋体"/>
          <w:sz w:val="24"/>
        </w:rPr>
        <w:t>各种机械安装后，应由安装单位组织有关部门参加验收，并向使用单位进行安全技术交底，方能使用。</w:t>
      </w:r>
    </w:p>
    <w:p>
      <w:pPr>
        <w:numPr>
          <w:ilvl w:val="2"/>
          <w:numId w:val="155"/>
        </w:numPr>
        <w:spacing w:line="360" w:lineRule="auto"/>
        <w:rPr>
          <w:rFonts w:hint="eastAsia" w:ascii="宋体" w:hAnsi="宋体" w:cs="Arial"/>
          <w:color w:val="000000"/>
          <w:sz w:val="24"/>
        </w:rPr>
      </w:pPr>
      <w:r>
        <w:rPr>
          <w:rFonts w:hint="eastAsia" w:ascii="宋体" w:hAnsi="宋体"/>
          <w:sz w:val="24"/>
        </w:rPr>
        <w:t>电动机工具的接地、接零牢固可靠，手持电动机具应设漏电断电器，用前必须检查，做好记录，绝缘良好，方准使用。</w:t>
      </w:r>
    </w:p>
    <w:p>
      <w:pPr>
        <w:numPr>
          <w:ilvl w:val="2"/>
          <w:numId w:val="155"/>
        </w:numPr>
        <w:spacing w:line="360" w:lineRule="auto"/>
        <w:rPr>
          <w:rFonts w:hint="eastAsia" w:ascii="宋体" w:hAnsi="宋体" w:cs="Arial"/>
          <w:color w:val="000000"/>
          <w:sz w:val="24"/>
        </w:rPr>
      </w:pPr>
      <w:r>
        <w:rPr>
          <w:rFonts w:hint="eastAsia" w:ascii="宋体" w:hAnsi="宋体"/>
          <w:sz w:val="24"/>
        </w:rPr>
        <w:t>凡正式运转的各类机械，必须建立专人专机并相寻固定，并制定岗位责任制或机组负责制，交接班制，定期维修保养制。不准带病运转。</w:t>
      </w:r>
    </w:p>
    <w:p>
      <w:pPr>
        <w:numPr>
          <w:ilvl w:val="2"/>
          <w:numId w:val="155"/>
        </w:numPr>
        <w:spacing w:line="360" w:lineRule="auto"/>
        <w:rPr>
          <w:rFonts w:hint="eastAsia" w:ascii="宋体" w:hAnsi="宋体" w:cs="Arial"/>
          <w:color w:val="000000"/>
          <w:sz w:val="24"/>
        </w:rPr>
      </w:pPr>
      <w:r>
        <w:rPr>
          <w:rFonts w:hint="eastAsia" w:ascii="宋体" w:hAnsi="宋体"/>
          <w:sz w:val="24"/>
        </w:rPr>
        <w:t>各类机械操作人员，必须严格遵守操作规程，严禁酒后操作，上班前要严格检查防护装置是否可靠和机械转动是否良好，合格后方准进行操作。机械运转期间，机械操作人员要严守岗位，精力集中，不得谈笑打闹，需短时间离开时，须停机断电，不得委托无证人员代替。</w:t>
      </w:r>
    </w:p>
    <w:p>
      <w:pPr>
        <w:numPr>
          <w:ilvl w:val="0"/>
          <w:numId w:val="152"/>
        </w:numPr>
        <w:tabs>
          <w:tab w:val="left" w:pos="900"/>
          <w:tab w:val="clear" w:pos="420"/>
        </w:tabs>
        <w:spacing w:line="360" w:lineRule="auto"/>
        <w:ind w:left="900" w:hanging="540"/>
        <w:rPr>
          <w:rFonts w:hint="eastAsia" w:ascii="宋体" w:hAnsi="宋体" w:cs="Arial"/>
          <w:color w:val="000000"/>
          <w:sz w:val="24"/>
        </w:rPr>
      </w:pPr>
      <w:r>
        <w:rPr>
          <w:rFonts w:hint="eastAsia" w:hAnsi="宋体" w:cs="Arial"/>
          <w:color w:val="000000"/>
          <w:sz w:val="24"/>
          <w:lang w:val="en-US" w:eastAsia="zh-CN"/>
        </w:rPr>
        <w:t>汽车吊</w:t>
      </w:r>
      <w:r>
        <w:rPr>
          <w:rFonts w:hint="eastAsia" w:ascii="宋体" w:hAnsi="宋体" w:cs="Arial"/>
          <w:color w:val="000000"/>
          <w:sz w:val="24"/>
        </w:rPr>
        <w:t>安全生产管理制度</w:t>
      </w:r>
    </w:p>
    <w:p>
      <w:pPr>
        <w:numPr>
          <w:ilvl w:val="2"/>
          <w:numId w:val="156"/>
        </w:numPr>
        <w:spacing w:line="360" w:lineRule="auto"/>
        <w:rPr>
          <w:rFonts w:hint="eastAsia" w:ascii="宋体" w:hAnsi="宋体"/>
          <w:sz w:val="24"/>
        </w:rPr>
      </w:pPr>
      <w:r>
        <w:rPr>
          <w:rFonts w:hint="eastAsia" w:ascii="宋体" w:hAnsi="宋体"/>
          <w:sz w:val="24"/>
        </w:rPr>
        <w:t>出租单位出租的建筑起重机械和使用单位购置、租赁、使用的建筑起重机械应当具有特种设备制造许可证、产品合格证、制造监督检验证明。</w:t>
      </w:r>
    </w:p>
    <w:p>
      <w:pPr>
        <w:numPr>
          <w:ilvl w:val="2"/>
          <w:numId w:val="156"/>
        </w:numPr>
        <w:spacing w:line="360" w:lineRule="auto"/>
        <w:rPr>
          <w:rFonts w:hint="eastAsia" w:ascii="宋体" w:hAnsi="宋体"/>
          <w:sz w:val="24"/>
        </w:rPr>
      </w:pPr>
      <w:r>
        <w:rPr>
          <w:rFonts w:hint="eastAsia" w:ascii="宋体" w:hAnsi="宋体"/>
          <w:sz w:val="24"/>
        </w:rPr>
        <w:t>出租单位应当在签订的建筑起重机械租赁合同中，明确租赁双方的安全责任，并出具建筑起重机械特种设备制造许可证、产品合格证、制造监督检验证明、备案证明和自检合格证明，提交安装使用说明书。</w:t>
      </w:r>
    </w:p>
    <w:p>
      <w:pPr>
        <w:numPr>
          <w:ilvl w:val="2"/>
          <w:numId w:val="156"/>
        </w:numPr>
        <w:spacing w:line="360" w:lineRule="auto"/>
        <w:rPr>
          <w:rFonts w:hint="eastAsia" w:ascii="宋体" w:hAnsi="宋体"/>
          <w:sz w:val="24"/>
        </w:rPr>
      </w:pPr>
      <w:r>
        <w:rPr>
          <w:rFonts w:hint="eastAsia" w:ascii="宋体" w:hAnsi="宋体"/>
          <w:sz w:val="24"/>
        </w:rPr>
        <w:t>有下列情形之一的建筑起重机械，不得出租、使用：</w:t>
      </w:r>
    </w:p>
    <w:p>
      <w:pPr>
        <w:numPr>
          <w:ilvl w:val="0"/>
          <w:numId w:val="15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属国家明令淘汰或者禁止使用的；</w:t>
      </w:r>
    </w:p>
    <w:p>
      <w:pPr>
        <w:numPr>
          <w:ilvl w:val="0"/>
          <w:numId w:val="15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超过安全技术标准或者制造厂家规定的使用年限的；</w:t>
      </w:r>
    </w:p>
    <w:p>
      <w:pPr>
        <w:numPr>
          <w:ilvl w:val="0"/>
          <w:numId w:val="15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经检验达不到安全技术标准规定的；</w:t>
      </w:r>
    </w:p>
    <w:p>
      <w:pPr>
        <w:numPr>
          <w:ilvl w:val="0"/>
          <w:numId w:val="15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没有完整安全技术档案的；</w:t>
      </w:r>
    </w:p>
    <w:p>
      <w:pPr>
        <w:numPr>
          <w:ilvl w:val="0"/>
          <w:numId w:val="15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没有齐全有效的安全保护装置的。</w:t>
      </w:r>
    </w:p>
    <w:p>
      <w:pPr>
        <w:numPr>
          <w:ilvl w:val="2"/>
          <w:numId w:val="156"/>
        </w:numPr>
        <w:spacing w:line="360" w:lineRule="auto"/>
        <w:rPr>
          <w:rFonts w:hint="eastAsia" w:ascii="宋体" w:hAnsi="宋体"/>
          <w:sz w:val="24"/>
        </w:rPr>
      </w:pPr>
      <w:r>
        <w:rPr>
          <w:rFonts w:hint="eastAsia" w:ascii="宋体" w:hAnsi="宋体"/>
          <w:sz w:val="24"/>
        </w:rPr>
        <w:t>起重机械安装完毕后，安装单位应当按照安全技术标准及安装使用说明书的有关要求对建筑起重机械进行自检、调试和试运转。自检合格的，应当出具自检合格证明，并向使用单位进行安全使用说明。</w:t>
      </w:r>
    </w:p>
    <w:p>
      <w:pPr>
        <w:numPr>
          <w:ilvl w:val="2"/>
          <w:numId w:val="156"/>
        </w:numPr>
        <w:spacing w:line="360" w:lineRule="auto"/>
        <w:rPr>
          <w:rFonts w:hint="eastAsia" w:ascii="宋体" w:hAnsi="宋体"/>
          <w:sz w:val="24"/>
        </w:rPr>
      </w:pPr>
      <w:r>
        <w:rPr>
          <w:rFonts w:hint="eastAsia" w:ascii="宋体" w:hAnsi="宋体"/>
          <w:sz w:val="24"/>
        </w:rPr>
        <w:t>起重机械</w:t>
      </w:r>
      <w:r>
        <w:rPr>
          <w:rFonts w:hint="eastAsia" w:hAnsi="宋体"/>
          <w:sz w:val="24"/>
          <w:lang w:val="en-US" w:eastAsia="zh-CN"/>
        </w:rPr>
        <w:t>使用前要编制</w:t>
      </w:r>
      <w:r>
        <w:rPr>
          <w:rFonts w:hint="eastAsia" w:ascii="宋体" w:hAnsi="宋体"/>
          <w:sz w:val="24"/>
        </w:rPr>
        <w:t>生产安全事故应急救援预案。</w:t>
      </w:r>
    </w:p>
    <w:p>
      <w:pPr>
        <w:numPr>
          <w:ilvl w:val="2"/>
          <w:numId w:val="156"/>
        </w:numPr>
        <w:spacing w:line="360" w:lineRule="auto"/>
        <w:rPr>
          <w:rFonts w:hint="eastAsia" w:ascii="宋体" w:hAnsi="宋体"/>
          <w:sz w:val="24"/>
        </w:rPr>
      </w:pPr>
      <w:r>
        <w:rPr>
          <w:rFonts w:hint="eastAsia" w:ascii="宋体" w:hAnsi="宋体"/>
          <w:sz w:val="24"/>
        </w:rPr>
        <w:t>使用单位根据不同施工阶段、周围环境以及季节、气候的变化，对建筑起重机械采取相应的安全防护措施；</w:t>
      </w:r>
    </w:p>
    <w:p>
      <w:pPr>
        <w:numPr>
          <w:ilvl w:val="2"/>
          <w:numId w:val="156"/>
        </w:numPr>
        <w:spacing w:line="360" w:lineRule="auto"/>
        <w:rPr>
          <w:rFonts w:hint="eastAsia" w:ascii="宋体" w:hAnsi="宋体"/>
          <w:sz w:val="24"/>
        </w:rPr>
      </w:pPr>
      <w:r>
        <w:rPr>
          <w:rFonts w:hint="eastAsia" w:ascii="宋体" w:hAnsi="宋体"/>
          <w:sz w:val="24"/>
        </w:rPr>
        <w:t>使用单位制定建筑起重机械生产安全事故应急救援预案；</w:t>
      </w:r>
    </w:p>
    <w:p>
      <w:pPr>
        <w:numPr>
          <w:ilvl w:val="2"/>
          <w:numId w:val="156"/>
        </w:numPr>
        <w:spacing w:line="360" w:lineRule="auto"/>
        <w:rPr>
          <w:rFonts w:hint="eastAsia" w:ascii="宋体" w:hAnsi="宋体"/>
          <w:sz w:val="24"/>
        </w:rPr>
      </w:pPr>
      <w:r>
        <w:rPr>
          <w:rFonts w:hint="eastAsia" w:ascii="宋体" w:hAnsi="宋体"/>
          <w:sz w:val="24"/>
        </w:rPr>
        <w:t>使用单位在建筑起重机械活动范围内设置明显的安全警示标志，对集中作业区做好安全防护；</w:t>
      </w:r>
    </w:p>
    <w:p>
      <w:pPr>
        <w:numPr>
          <w:ilvl w:val="2"/>
          <w:numId w:val="156"/>
        </w:numPr>
        <w:spacing w:line="360" w:lineRule="auto"/>
        <w:rPr>
          <w:rFonts w:hint="eastAsia" w:ascii="宋体" w:hAnsi="宋体"/>
          <w:sz w:val="24"/>
        </w:rPr>
      </w:pPr>
      <w:r>
        <w:rPr>
          <w:rFonts w:hint="eastAsia" w:ascii="宋体" w:hAnsi="宋体"/>
          <w:sz w:val="24"/>
        </w:rPr>
        <w:t>使用单位设置相应的设备管理机构或者配备专职的设备管理人员；</w:t>
      </w:r>
    </w:p>
    <w:p>
      <w:pPr>
        <w:numPr>
          <w:ilvl w:val="2"/>
          <w:numId w:val="156"/>
        </w:numPr>
        <w:spacing w:line="360" w:lineRule="auto"/>
        <w:rPr>
          <w:rFonts w:hint="eastAsia" w:ascii="宋体" w:hAnsi="宋体"/>
          <w:sz w:val="24"/>
        </w:rPr>
      </w:pPr>
      <w:r>
        <w:rPr>
          <w:rFonts w:hint="eastAsia" w:ascii="宋体" w:hAnsi="宋体"/>
          <w:sz w:val="24"/>
        </w:rPr>
        <w:t>使用单位指定专职设备管理人员、专职安全生产管理人员进行现场监督检查；</w:t>
      </w:r>
    </w:p>
    <w:p>
      <w:pPr>
        <w:numPr>
          <w:ilvl w:val="2"/>
          <w:numId w:val="156"/>
        </w:numPr>
        <w:spacing w:line="360" w:lineRule="auto"/>
        <w:rPr>
          <w:rFonts w:hint="eastAsia" w:ascii="宋体" w:hAnsi="宋体"/>
          <w:sz w:val="24"/>
        </w:rPr>
      </w:pPr>
      <w:r>
        <w:rPr>
          <w:rFonts w:hint="eastAsia" w:ascii="宋体" w:hAnsi="宋体"/>
          <w:sz w:val="24"/>
        </w:rPr>
        <w:t>使用单位</w:t>
      </w:r>
      <w:r>
        <w:rPr>
          <w:rFonts w:hint="eastAsia" w:hAnsi="宋体"/>
          <w:sz w:val="24"/>
          <w:lang w:val="en-US" w:eastAsia="zh-CN"/>
        </w:rPr>
        <w:t>发现</w:t>
      </w:r>
      <w:r>
        <w:rPr>
          <w:rFonts w:hint="eastAsia" w:ascii="宋体" w:hAnsi="宋体"/>
          <w:sz w:val="24"/>
        </w:rPr>
        <w:t>起重机械出现故障或者发生异常情况的，立即停止使用，消除故障和事故隐患后，方可重新投入使用。</w:t>
      </w:r>
    </w:p>
    <w:p>
      <w:pPr>
        <w:numPr>
          <w:ilvl w:val="2"/>
          <w:numId w:val="156"/>
        </w:numPr>
        <w:spacing w:line="360" w:lineRule="auto"/>
        <w:rPr>
          <w:rFonts w:hint="eastAsia" w:ascii="宋体" w:hAnsi="宋体"/>
          <w:sz w:val="24"/>
        </w:rPr>
      </w:pPr>
      <w:r>
        <w:rPr>
          <w:rFonts w:hint="eastAsia" w:ascii="宋体" w:hAnsi="宋体"/>
          <w:sz w:val="24"/>
        </w:rPr>
        <w:t>使用单位应当对在用的建筑起重机械及其安全保护装置、吊具、索具等进行经常性和定期的检查、维护和保养，并做好记录。</w:t>
      </w:r>
    </w:p>
    <w:p>
      <w:pPr>
        <w:numPr>
          <w:ilvl w:val="2"/>
          <w:numId w:val="156"/>
        </w:numPr>
        <w:spacing w:line="360" w:lineRule="auto"/>
        <w:rPr>
          <w:rFonts w:hint="eastAsia" w:ascii="宋体" w:hAnsi="宋体"/>
          <w:sz w:val="24"/>
        </w:rPr>
      </w:pPr>
      <w:r>
        <w:rPr>
          <w:rFonts w:hint="eastAsia" w:ascii="宋体" w:hAnsi="宋体"/>
          <w:sz w:val="24"/>
        </w:rPr>
        <w:t>起重机械特种作业人员应当遵守建筑起重机械安全操作规程和安全管理制度，在作业中有权拒绝违章指挥和强令冒险作业，有权在发生危及人身安全的紧急情况时立即停止作业或者采取必要的应急措施后撤离危险区域。</w:t>
      </w:r>
    </w:p>
    <w:p>
      <w:pPr>
        <w:numPr>
          <w:ilvl w:val="2"/>
          <w:numId w:val="156"/>
        </w:numPr>
        <w:spacing w:line="360" w:lineRule="auto"/>
        <w:rPr>
          <w:rFonts w:hint="eastAsia" w:ascii="宋体" w:hAnsi="宋体"/>
          <w:sz w:val="24"/>
        </w:rPr>
      </w:pPr>
      <w:r>
        <w:rPr>
          <w:rFonts w:hint="eastAsia" w:ascii="宋体" w:hAnsi="宋体"/>
          <w:sz w:val="24"/>
        </w:rPr>
        <w:t>建立安全管理规章制度，其内容包括：</w:t>
      </w:r>
    </w:p>
    <w:p>
      <w:pPr>
        <w:numPr>
          <w:ilvl w:val="0"/>
          <w:numId w:val="158"/>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司机守则;</w:t>
      </w:r>
    </w:p>
    <w:p>
      <w:pPr>
        <w:numPr>
          <w:ilvl w:val="0"/>
          <w:numId w:val="158"/>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安全操作规程;</w:t>
      </w:r>
    </w:p>
    <w:p>
      <w:pPr>
        <w:numPr>
          <w:ilvl w:val="0"/>
          <w:numId w:val="158"/>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机械维护、保养、检查和检验制度;</w:t>
      </w:r>
    </w:p>
    <w:p>
      <w:pPr>
        <w:numPr>
          <w:ilvl w:val="0"/>
          <w:numId w:val="158"/>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机械安全技术档案管理制度;</w:t>
      </w:r>
    </w:p>
    <w:p>
      <w:pPr>
        <w:numPr>
          <w:ilvl w:val="0"/>
          <w:numId w:val="158"/>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机械作业和维修人员安全培训、考核制度;</w:t>
      </w:r>
    </w:p>
    <w:p>
      <w:pPr>
        <w:numPr>
          <w:ilvl w:val="2"/>
          <w:numId w:val="156"/>
        </w:numPr>
        <w:spacing w:line="360" w:lineRule="auto"/>
        <w:rPr>
          <w:rFonts w:hint="eastAsia" w:ascii="宋体" w:hAnsi="宋体"/>
          <w:sz w:val="24"/>
        </w:rPr>
      </w:pPr>
      <w:r>
        <w:rPr>
          <w:rFonts w:hint="eastAsia" w:ascii="宋体" w:hAnsi="宋体"/>
          <w:sz w:val="24"/>
        </w:rPr>
        <w:t>起重机械有异常情况时，必须及时处理，严禁带病运行。</w:t>
      </w:r>
    </w:p>
    <w:p>
      <w:pPr>
        <w:numPr>
          <w:ilvl w:val="2"/>
          <w:numId w:val="156"/>
        </w:numPr>
        <w:spacing w:line="360" w:lineRule="auto"/>
        <w:rPr>
          <w:rFonts w:hint="eastAsia" w:ascii="宋体" w:hAnsi="宋体"/>
          <w:sz w:val="24"/>
        </w:rPr>
      </w:pPr>
      <w:r>
        <w:rPr>
          <w:rFonts w:hint="eastAsia" w:ascii="宋体" w:hAnsi="宋体"/>
          <w:sz w:val="24"/>
        </w:rPr>
        <w:t>吊车操作者应熟知安全操作规程，并持有吊车操作证；</w:t>
      </w:r>
    </w:p>
    <w:p>
      <w:pPr>
        <w:numPr>
          <w:ilvl w:val="2"/>
          <w:numId w:val="156"/>
        </w:numPr>
        <w:spacing w:line="360" w:lineRule="auto"/>
        <w:rPr>
          <w:rFonts w:hint="eastAsia" w:ascii="宋体" w:hAnsi="宋体"/>
          <w:sz w:val="24"/>
        </w:rPr>
      </w:pPr>
      <w:r>
        <w:rPr>
          <w:rFonts w:hint="eastAsia" w:ascii="宋体" w:hAnsi="宋体"/>
          <w:sz w:val="24"/>
        </w:rPr>
        <w:t>吊运过程严格按操作规程操作；</w:t>
      </w:r>
    </w:p>
    <w:p>
      <w:pPr>
        <w:numPr>
          <w:ilvl w:val="2"/>
          <w:numId w:val="156"/>
        </w:numPr>
        <w:spacing w:line="360" w:lineRule="auto"/>
        <w:rPr>
          <w:rFonts w:hint="eastAsia" w:ascii="宋体" w:hAnsi="宋体"/>
          <w:sz w:val="24"/>
        </w:rPr>
      </w:pPr>
      <w:r>
        <w:rPr>
          <w:rFonts w:hint="eastAsia" w:ascii="宋体" w:hAnsi="宋体"/>
          <w:sz w:val="24"/>
        </w:rPr>
        <w:t>吊运作业结束后按要求定置吊车、遥控器；</w:t>
      </w:r>
    </w:p>
    <w:p>
      <w:pPr>
        <w:numPr>
          <w:ilvl w:val="2"/>
          <w:numId w:val="156"/>
        </w:numPr>
        <w:spacing w:line="360" w:lineRule="auto"/>
        <w:rPr>
          <w:rFonts w:hint="eastAsia" w:ascii="宋体" w:hAnsi="宋体"/>
          <w:sz w:val="24"/>
        </w:rPr>
      </w:pPr>
      <w:r>
        <w:rPr>
          <w:rFonts w:hint="eastAsia" w:ascii="宋体" w:hAnsi="宋体"/>
          <w:sz w:val="24"/>
        </w:rPr>
        <w:t>吊运作业结束后，应立即将吊车开到指定的安全区域并升起吊钩；如吊车吊运结束，且吊运结束后三分钟内吊车不再进行其它作业，期间吊车仍未开回安全区域的，视为违规；</w:t>
      </w:r>
    </w:p>
    <w:p>
      <w:pPr>
        <w:numPr>
          <w:ilvl w:val="2"/>
          <w:numId w:val="156"/>
        </w:numPr>
        <w:spacing w:line="360" w:lineRule="auto"/>
        <w:rPr>
          <w:rFonts w:hint="eastAsia" w:ascii="宋体" w:hAnsi="宋体"/>
          <w:sz w:val="24"/>
        </w:rPr>
      </w:pPr>
      <w:r>
        <w:rPr>
          <w:rFonts w:hint="eastAsia" w:ascii="宋体" w:hAnsi="宋体"/>
          <w:sz w:val="24"/>
        </w:rPr>
        <w:t>吊车开回安全区域后，吊车遥控器应立即放回定置点，否则视为违规；</w:t>
      </w:r>
    </w:p>
    <w:p>
      <w:pPr>
        <w:numPr>
          <w:ilvl w:val="2"/>
          <w:numId w:val="156"/>
        </w:numPr>
        <w:spacing w:line="360" w:lineRule="auto"/>
        <w:rPr>
          <w:rFonts w:hint="eastAsia" w:ascii="宋体" w:hAnsi="宋体"/>
          <w:sz w:val="24"/>
        </w:rPr>
      </w:pPr>
      <w:r>
        <w:rPr>
          <w:rFonts w:hint="eastAsia" w:hAnsi="宋体"/>
          <w:sz w:val="24"/>
          <w:lang w:val="en-US" w:eastAsia="zh-CN"/>
        </w:rPr>
        <w:t>吊车司机</w:t>
      </w:r>
      <w:r>
        <w:rPr>
          <w:rFonts w:hint="eastAsia" w:ascii="宋体" w:hAnsi="宋体"/>
          <w:sz w:val="24"/>
        </w:rPr>
        <w:t>必须遵守一切交通管理规则和有关规章制度，严禁酒后开车。驾驶时，不准吸烟、饮食和闲谈。</w:t>
      </w:r>
    </w:p>
    <w:p>
      <w:pPr>
        <w:numPr>
          <w:ilvl w:val="2"/>
          <w:numId w:val="156"/>
        </w:numPr>
        <w:spacing w:line="360" w:lineRule="auto"/>
        <w:rPr>
          <w:rFonts w:hint="eastAsia" w:ascii="宋体" w:hAnsi="宋体"/>
          <w:sz w:val="24"/>
        </w:rPr>
      </w:pPr>
      <w:r>
        <w:rPr>
          <w:rFonts w:hint="eastAsia" w:ascii="宋体" w:hAnsi="宋体"/>
          <w:sz w:val="24"/>
        </w:rPr>
        <w:t>工作前必须检查各操作装置是否正常，钢丝绳是否符合安全规定，制动器、液压装置和安全装置是否齐全和灵敏可靠。严禁机件带病运行。</w:t>
      </w:r>
    </w:p>
    <w:p>
      <w:pPr>
        <w:numPr>
          <w:ilvl w:val="2"/>
          <w:numId w:val="156"/>
        </w:numPr>
        <w:spacing w:line="360" w:lineRule="auto"/>
        <w:rPr>
          <w:rFonts w:hint="eastAsia" w:ascii="宋体" w:hAnsi="宋体"/>
          <w:sz w:val="24"/>
        </w:rPr>
      </w:pPr>
      <w:r>
        <w:rPr>
          <w:rFonts w:hint="eastAsia" w:ascii="宋体" w:hAnsi="宋体"/>
          <w:sz w:val="24"/>
        </w:rPr>
        <w:t>司机与起重工必须密切配合，听从指挥人员的信号指挥。操作前，必须先鸣喇叭，如发现指挥手势不清或错误时，司机有权拒绝执行，工作中，司机对任何人发出的紧急停车信号必须立即停车，待消除不安全因素后方可继续工作。</w:t>
      </w:r>
    </w:p>
    <w:p>
      <w:pPr>
        <w:numPr>
          <w:ilvl w:val="2"/>
          <w:numId w:val="156"/>
        </w:numPr>
        <w:spacing w:line="360" w:lineRule="auto"/>
        <w:rPr>
          <w:rFonts w:hint="eastAsia" w:ascii="宋体" w:hAnsi="宋体"/>
          <w:sz w:val="24"/>
        </w:rPr>
      </w:pPr>
      <w:r>
        <w:rPr>
          <w:rFonts w:hint="eastAsia" w:ascii="宋体" w:hAnsi="宋体"/>
          <w:sz w:val="24"/>
        </w:rPr>
        <w:t xml:space="preserve">起重机在运行时，严禁无关人员进入驾驶室和上下搭梯。 </w:t>
      </w:r>
    </w:p>
    <w:p>
      <w:pPr>
        <w:numPr>
          <w:ilvl w:val="2"/>
          <w:numId w:val="156"/>
        </w:numPr>
        <w:spacing w:line="360" w:lineRule="auto"/>
        <w:rPr>
          <w:rFonts w:hint="eastAsia" w:ascii="宋体" w:hAnsi="宋体"/>
          <w:sz w:val="24"/>
        </w:rPr>
      </w:pPr>
      <w:r>
        <w:rPr>
          <w:rFonts w:hint="eastAsia" w:ascii="宋体" w:hAnsi="宋体"/>
          <w:sz w:val="24"/>
        </w:rPr>
        <w:t>在松软地面上工作的起重机，应在使用前将地面垫平、压实。机身必须固定平稳，支撑必须安放牢固，作业区内应有足够的空间和场地。</w:t>
      </w:r>
    </w:p>
    <w:p>
      <w:pPr>
        <w:numPr>
          <w:ilvl w:val="2"/>
          <w:numId w:val="156"/>
        </w:numPr>
        <w:spacing w:line="360" w:lineRule="auto"/>
        <w:rPr>
          <w:rFonts w:hint="eastAsia" w:ascii="宋体" w:hAnsi="宋体"/>
          <w:sz w:val="24"/>
        </w:rPr>
      </w:pPr>
      <w:r>
        <w:rPr>
          <w:rFonts w:hint="eastAsia" w:ascii="宋体" w:hAnsi="宋体"/>
          <w:sz w:val="24"/>
        </w:rPr>
        <w:t>在起吊较重物件时，应先将重物吊离地面10厘米左右，检查起重机的稳定性和制动器等是否灵活和有效，在确认正常的情况下方可继续工作。</w:t>
      </w:r>
    </w:p>
    <w:p>
      <w:pPr>
        <w:numPr>
          <w:ilvl w:val="2"/>
          <w:numId w:val="156"/>
        </w:numPr>
        <w:spacing w:line="360" w:lineRule="auto"/>
        <w:rPr>
          <w:rFonts w:hint="eastAsia" w:ascii="宋体" w:hAnsi="宋体"/>
          <w:sz w:val="24"/>
        </w:rPr>
      </w:pPr>
      <w:r>
        <w:rPr>
          <w:rFonts w:hint="eastAsia" w:ascii="宋体" w:hAnsi="宋体"/>
          <w:sz w:val="24"/>
        </w:rPr>
        <w:t>起重机在进行满负荷或接近满负荷起吊时，禁止同时进行两种或两种以上的操作动作。起重臂的左右旋转角度都不能超过45°，并严禁斜吊、拉吊和快速起落。不准吊拔埋入地面的物件。严禁在高压线下进行作业。</w:t>
      </w:r>
    </w:p>
    <w:p>
      <w:pPr>
        <w:numPr>
          <w:ilvl w:val="2"/>
          <w:numId w:val="156"/>
        </w:numPr>
        <w:spacing w:line="360" w:lineRule="auto"/>
        <w:rPr>
          <w:rFonts w:hint="eastAsia" w:ascii="宋体" w:hAnsi="宋体"/>
          <w:sz w:val="24"/>
        </w:rPr>
      </w:pPr>
      <w:r>
        <w:rPr>
          <w:rFonts w:hint="eastAsia" w:ascii="宋体" w:hAnsi="宋体"/>
          <w:sz w:val="24"/>
        </w:rPr>
        <w:t>汽车、履带起重机不得在斜坡上横向运行，更不允许朝坡的下方转动起重臂。如果必须运行或转动时，必须将机身先垫平。    10．起重机在工作时，作业区域，起重臂下，吊钩和被吊垂物下面严禁任何人站立，工作或通行。</w:t>
      </w:r>
    </w:p>
    <w:p>
      <w:pPr>
        <w:numPr>
          <w:ilvl w:val="2"/>
          <w:numId w:val="156"/>
        </w:numPr>
        <w:spacing w:line="360" w:lineRule="auto"/>
        <w:rPr>
          <w:rFonts w:hint="eastAsia" w:ascii="宋体" w:hAnsi="宋体"/>
          <w:sz w:val="24"/>
        </w:rPr>
      </w:pPr>
      <w:r>
        <w:rPr>
          <w:rFonts w:hint="eastAsia" w:ascii="宋体" w:hAnsi="宋体"/>
          <w:sz w:val="24"/>
        </w:rPr>
        <w:t>起重机在带电线路附近工作时，应与带电线路保持一定的安全距离。在最大回转半径范围内，—其允许与输电线路的最近距离见下表。雨雾天工作时安全距离还应适当放大。起重机在输电线下面通过时，应先将起重臂放下。</w:t>
      </w:r>
    </w:p>
    <w:p>
      <w:pPr>
        <w:numPr>
          <w:ilvl w:val="2"/>
          <w:numId w:val="156"/>
        </w:numPr>
        <w:spacing w:line="360" w:lineRule="auto"/>
        <w:rPr>
          <w:rFonts w:hint="eastAsia" w:ascii="宋体" w:hAnsi="宋体"/>
          <w:sz w:val="24"/>
        </w:rPr>
      </w:pPr>
      <w:r>
        <w:rPr>
          <w:rFonts w:hint="eastAsia" w:ascii="宋体" w:hAnsi="宋体"/>
          <w:sz w:val="24"/>
        </w:rPr>
        <w:t>起重机严禁超载使用。如果用两台起重机同时起吊一件重物时，必须有专人统一指挥，两车的升降速度要保持相等，其物件的重量不得超过两车所允许的起重量总和的75％，绑扎吊索时要注意负荷的分配，每车分担的负荷不能超过所允许的最大起重量的80％。</w:t>
      </w:r>
    </w:p>
    <w:p>
      <w:pPr>
        <w:numPr>
          <w:ilvl w:val="2"/>
          <w:numId w:val="156"/>
        </w:numPr>
        <w:spacing w:line="360" w:lineRule="auto"/>
        <w:rPr>
          <w:rFonts w:hint="eastAsia" w:ascii="宋体" w:hAnsi="宋体"/>
          <w:sz w:val="24"/>
        </w:rPr>
      </w:pPr>
      <w:r>
        <w:rPr>
          <w:rFonts w:hint="eastAsia" w:ascii="宋体" w:hAnsi="宋体"/>
          <w:sz w:val="24"/>
        </w:rPr>
        <w:t xml:space="preserve">起重机在工作时，吊钩与滑轮之间应保持一定的距离，防止卷扬过限把钢丝绳拉断或起重臂后翻。在起重臂起升到最大仰角和吊钩在最低位置时，卷扬筒上的钢丝绳应至少保留三圈以上。    </w:t>
      </w:r>
    </w:p>
    <w:p>
      <w:pPr>
        <w:numPr>
          <w:ilvl w:val="2"/>
          <w:numId w:val="156"/>
        </w:numPr>
        <w:spacing w:line="360" w:lineRule="auto"/>
        <w:rPr>
          <w:rFonts w:hint="eastAsia" w:ascii="宋体" w:hAnsi="宋体"/>
          <w:sz w:val="24"/>
        </w:rPr>
      </w:pPr>
      <w:r>
        <w:rPr>
          <w:rFonts w:hint="eastAsia" w:ascii="宋体" w:hAnsi="宋体"/>
          <w:sz w:val="24"/>
        </w:rPr>
        <w:t>起重臂仰角不得小于30°，起重机在载荷情况下应尽量避免起落起重臂。严禁在起重臂起落稳妥前变换操纵杆。</w:t>
      </w:r>
    </w:p>
    <w:p>
      <w:pPr>
        <w:numPr>
          <w:ilvl w:val="2"/>
          <w:numId w:val="156"/>
        </w:numPr>
        <w:spacing w:line="360" w:lineRule="auto"/>
        <w:rPr>
          <w:rFonts w:hint="eastAsia" w:ascii="宋体" w:hAnsi="宋体"/>
          <w:sz w:val="24"/>
        </w:rPr>
      </w:pPr>
      <w:r>
        <w:rPr>
          <w:rFonts w:hint="eastAsia" w:ascii="宋体" w:hAnsi="宋体"/>
          <w:sz w:val="24"/>
        </w:rPr>
        <w:t>严禁乘坐或利用起重机载人升降，工作中禁止用手触摸钢丝绳和滑轮。</w:t>
      </w:r>
    </w:p>
    <w:p>
      <w:pPr>
        <w:numPr>
          <w:ilvl w:val="2"/>
          <w:numId w:val="156"/>
        </w:numPr>
        <w:spacing w:line="360" w:lineRule="auto"/>
        <w:rPr>
          <w:rFonts w:hint="eastAsia" w:ascii="宋体" w:hAnsi="宋体"/>
          <w:sz w:val="24"/>
        </w:rPr>
      </w:pPr>
      <w:r>
        <w:rPr>
          <w:rFonts w:hint="eastAsia" w:ascii="宋体" w:hAnsi="宋体"/>
          <w:sz w:val="24"/>
        </w:rPr>
        <w:t>起重机在工作时，不准进行检修和调整机件。</w:t>
      </w:r>
    </w:p>
    <w:p>
      <w:pPr>
        <w:numPr>
          <w:ilvl w:val="2"/>
          <w:numId w:val="156"/>
        </w:numPr>
        <w:spacing w:line="360" w:lineRule="auto"/>
        <w:rPr>
          <w:rFonts w:hint="eastAsia" w:ascii="宋体" w:hAnsi="宋体"/>
          <w:sz w:val="24"/>
        </w:rPr>
      </w:pPr>
      <w:r>
        <w:rPr>
          <w:rFonts w:hint="eastAsia" w:ascii="宋体" w:hAnsi="宋体"/>
          <w:sz w:val="24"/>
        </w:rPr>
        <w:t>无论在停工或休息时，不得将吊物悬挂在空中。夜间作业要有足够的照明。</w:t>
      </w:r>
    </w:p>
    <w:p>
      <w:pPr>
        <w:numPr>
          <w:ilvl w:val="2"/>
          <w:numId w:val="156"/>
        </w:numPr>
        <w:spacing w:line="360" w:lineRule="auto"/>
        <w:rPr>
          <w:rFonts w:hint="eastAsia" w:ascii="宋体" w:hAnsi="宋体"/>
          <w:sz w:val="24"/>
        </w:rPr>
      </w:pPr>
      <w:r>
        <w:rPr>
          <w:rFonts w:hint="eastAsia" w:ascii="宋体" w:hAnsi="宋体"/>
          <w:sz w:val="24"/>
        </w:rPr>
        <w:t>工作完毕，吊钩和起重臂应放在规定的稳妥位置，将所有控制手柄放至零位，并切断电源。塔吊、平板吊应停在轨道中间位置，并锁住夹轨钳。</w:t>
      </w:r>
    </w:p>
    <w:p>
      <w:pPr>
        <w:pStyle w:val="3"/>
        <w:numPr>
          <w:ilvl w:val="1"/>
          <w:numId w:val="2"/>
        </w:numPr>
        <w:rPr>
          <w:rFonts w:hint="eastAsia" w:ascii="宋体" w:hAnsi="宋体" w:eastAsia="宋体"/>
          <w:sz w:val="30"/>
          <w:szCs w:val="30"/>
        </w:rPr>
      </w:pPr>
      <w:bookmarkStart w:id="593" w:name="_Toc93674460"/>
      <w:bookmarkStart w:id="594" w:name="_Toc29856"/>
      <w:bookmarkStart w:id="595" w:name="_Toc11172"/>
      <w:bookmarkStart w:id="596" w:name="_Toc19917"/>
      <w:bookmarkStart w:id="597" w:name="_Toc10909"/>
      <w:bookmarkStart w:id="598" w:name="_Toc27104"/>
      <w:r>
        <w:rPr>
          <w:rFonts w:ascii="宋体" w:hAnsi="宋体" w:eastAsia="宋体" w:cs="Arial"/>
          <w:bCs w:val="0"/>
          <w:color w:val="000000"/>
          <w:sz w:val="30"/>
          <w:szCs w:val="30"/>
        </w:rPr>
        <w:t>文明施工</w:t>
      </w:r>
      <w:r>
        <w:rPr>
          <w:rFonts w:hint="eastAsia" w:ascii="宋体" w:hAnsi="宋体" w:eastAsia="宋体" w:cs="Arial"/>
          <w:bCs w:val="0"/>
          <w:color w:val="000000"/>
          <w:sz w:val="30"/>
          <w:szCs w:val="30"/>
          <w:lang w:val="en-US" w:eastAsia="zh-CN"/>
        </w:rPr>
        <w:t>及</w:t>
      </w:r>
      <w:r>
        <w:rPr>
          <w:rFonts w:ascii="宋体" w:hAnsi="宋体" w:eastAsia="宋体" w:cs="Arial"/>
          <w:bCs w:val="0"/>
          <w:color w:val="000000"/>
          <w:sz w:val="30"/>
          <w:szCs w:val="30"/>
        </w:rPr>
        <w:t>保证措施</w:t>
      </w:r>
      <w:bookmarkEnd w:id="593"/>
      <w:bookmarkEnd w:id="594"/>
      <w:bookmarkEnd w:id="595"/>
      <w:bookmarkEnd w:id="596"/>
      <w:bookmarkEnd w:id="597"/>
      <w:bookmarkEnd w:id="598"/>
    </w:p>
    <w:p>
      <w:pPr>
        <w:pStyle w:val="4"/>
        <w:numPr>
          <w:ilvl w:val="1"/>
          <w:numId w:val="159"/>
        </w:numPr>
        <w:rPr>
          <w:rFonts w:hint="eastAsia" w:ascii="宋体" w:hAnsi="宋体" w:cs="Arial"/>
          <w:bCs w:val="0"/>
          <w:color w:val="000000"/>
          <w:sz w:val="28"/>
          <w:szCs w:val="28"/>
        </w:rPr>
      </w:pPr>
      <w:bookmarkStart w:id="599" w:name="_Toc4992"/>
      <w:r>
        <w:rPr>
          <w:rFonts w:ascii="宋体" w:hAnsi="宋体" w:cs="Arial"/>
          <w:bCs w:val="0"/>
          <w:color w:val="000000"/>
          <w:sz w:val="28"/>
          <w:szCs w:val="28"/>
        </w:rPr>
        <w:t>文明施工的意义</w:t>
      </w:r>
      <w:bookmarkEnd w:id="599"/>
    </w:p>
    <w:p>
      <w:pPr>
        <w:spacing w:line="360" w:lineRule="auto"/>
        <w:ind w:firstLine="480" w:firstLineChars="200"/>
        <w:rPr>
          <w:rFonts w:ascii="宋体" w:hAnsi="宋体" w:cs="Arial"/>
          <w:color w:val="000000"/>
          <w:sz w:val="24"/>
        </w:rPr>
      </w:pPr>
      <w:r>
        <w:rPr>
          <w:rFonts w:ascii="宋体" w:hAnsi="宋体" w:cs="Arial"/>
          <w:color w:val="000000"/>
          <w:sz w:val="24"/>
        </w:rPr>
        <w:t>文明施工是指在施工现场中，要按现代化施工的客观要求，使施工现场保持良好的施工环境和施工秩序。它是施工现场管理的一项重要的基础工作。文明施工是现代化施工的重要标志，是施工企业一项基础性的工作，坚持文明施工有重要的意义。文明施工就是通过对施工现场中的质量、安全防护、安全用电、机械设备、技术、消防保卫、场容、卫生、环保、材料等各方面的管理，创造良好的施工环境和施工秩序，促进安全生产、加快施工速度、保证工程质量、降低工程成本、提高企业经济和社会效益。文明施工涉及到人、财、物各方面，贯穿于施工全过程之中，是企业各项管理在施工现场的综合反映。</w:t>
      </w:r>
    </w:p>
    <w:p>
      <w:pPr>
        <w:pStyle w:val="4"/>
        <w:numPr>
          <w:ilvl w:val="1"/>
          <w:numId w:val="159"/>
        </w:numPr>
        <w:rPr>
          <w:rFonts w:hint="eastAsia" w:ascii="宋体" w:hAnsi="宋体" w:cs="Arial"/>
          <w:bCs w:val="0"/>
          <w:color w:val="000000"/>
          <w:sz w:val="28"/>
          <w:szCs w:val="28"/>
        </w:rPr>
      </w:pPr>
      <w:bookmarkStart w:id="600" w:name="_Toc20642"/>
      <w:r>
        <w:rPr>
          <w:rFonts w:hint="eastAsia" w:ascii="宋体" w:hAnsi="宋体" w:cs="Arial"/>
          <w:bCs w:val="0"/>
          <w:color w:val="000000"/>
          <w:sz w:val="28"/>
          <w:szCs w:val="28"/>
        </w:rPr>
        <w:t>文明施工目标</w:t>
      </w:r>
      <w:bookmarkEnd w:id="600"/>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 xml:space="preserve">安全文明施工是体现企业现场管理的一个重要标志，不但能保证施工人员的人身安全，还能减免安全事故的发生，减少材料浪费，充分体现企业的现场管理水平。 </w:t>
      </w:r>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为此在本工程开工伊始我们首先制定了本工程</w:t>
      </w:r>
      <w:r>
        <w:rPr>
          <w:rFonts w:hint="eastAsia" w:ascii="宋体" w:hAnsi="宋体" w:cs="Arial"/>
          <w:color w:val="000000"/>
          <w:sz w:val="24"/>
          <w:lang w:val="en-US" w:eastAsia="zh-CN"/>
        </w:rPr>
        <w:t>文明</w:t>
      </w:r>
      <w:r>
        <w:rPr>
          <w:rFonts w:hint="eastAsia" w:ascii="宋体" w:hAnsi="宋体" w:cs="Arial"/>
          <w:color w:val="000000"/>
          <w:sz w:val="24"/>
        </w:rPr>
        <w:t>生产目标：施工现场和环境管理按规范、省市文明施工标准、安全生产工地以及环境管理标准进行布置和管理，确保文明施工工地，争创市安全文明施工样板工地。本工程遵循以人为本、文明施工、倡导绿色施工、节能减排以及环境保护的要求施工。</w:t>
      </w:r>
    </w:p>
    <w:p>
      <w:pPr>
        <w:pStyle w:val="4"/>
        <w:numPr>
          <w:ilvl w:val="1"/>
          <w:numId w:val="159"/>
        </w:numPr>
        <w:rPr>
          <w:rFonts w:hint="eastAsia" w:ascii="宋体" w:hAnsi="宋体" w:cs="Arial"/>
          <w:bCs w:val="0"/>
          <w:color w:val="000000"/>
          <w:sz w:val="28"/>
          <w:szCs w:val="28"/>
        </w:rPr>
      </w:pPr>
      <w:bookmarkStart w:id="601" w:name="_Toc913"/>
      <w:r>
        <w:rPr>
          <w:rFonts w:hint="eastAsia" w:ascii="宋体" w:hAnsi="宋体" w:cs="Arial"/>
          <w:bCs w:val="0"/>
          <w:color w:val="000000"/>
          <w:sz w:val="28"/>
          <w:szCs w:val="28"/>
        </w:rPr>
        <w:t>文明施工组织管理机构</w:t>
      </w:r>
      <w:bookmarkEnd w:id="601"/>
    </w:p>
    <w:p>
      <w:pPr>
        <w:spacing w:line="360" w:lineRule="auto"/>
        <w:ind w:firstLine="480" w:firstLineChars="200"/>
        <w:rPr>
          <w:rFonts w:ascii="宋体" w:hAnsi="宋体" w:cs="Arial"/>
          <w:color w:val="000000"/>
          <w:sz w:val="24"/>
        </w:rPr>
      </w:pPr>
      <w:r>
        <w:rPr>
          <w:rFonts w:hint="eastAsia" w:ascii="宋体" w:hAnsi="宋体" w:cs="Arial"/>
          <w:color w:val="000000"/>
          <w:sz w:val="24"/>
        </w:rPr>
        <w:t>文明施工是建筑企业社会形象的窗口，它是施工现场综合管理水平的具体体现，文明施工生产应贯穿于项目施工管理的整个过程。通过现场环境和文明施工管理不仅仅提供一个舒心的工作环境，达到环境职业健康安全管理的要求，更重要的是减少安全事故隐患，提高工作效率，保证工程质量，维护城市市容、市貌环境卫生，同时树立企业的良好形象。因此项目经理部应建立完善的文明施工管理体系、管理制度和岗位职责。</w:t>
      </w:r>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为实现文明施工目标，必须完善组织机构，明确相关职责，为现场文明施工的开展奠定组织保证。建立以项目执行经理为组长的文明施工管理领导小组。各职能部门、各劳务队伍、各分包队伍及管理人员均为小组成员；同时还应落实各级管理人员文明施工生产岗位责任制，各负其责，各尽其能。</w:t>
      </w:r>
    </w:p>
    <w:p>
      <w:pPr>
        <w:pStyle w:val="3"/>
        <w:rPr>
          <w:rFonts w:hint="default" w:ascii="宋体" w:hAnsi="宋体" w:eastAsia="宋体" w:cs="宋体"/>
          <w:bCs w:val="0"/>
          <w:color w:val="000000"/>
          <w:sz w:val="24"/>
          <w:szCs w:val="24"/>
          <w:lang w:val="en-US" w:eastAsia="zh-CN"/>
        </w:rPr>
      </w:pPr>
      <w:bookmarkStart w:id="602" w:name="_Toc30385"/>
      <w:r>
        <w:rPr>
          <w:rFonts w:hint="eastAsia" w:ascii="宋体" w:hAnsi="宋体" w:eastAsia="宋体" w:cs="宋体"/>
          <w:bCs w:val="0"/>
          <w:color w:val="000000"/>
          <w:sz w:val="24"/>
          <w:szCs w:val="24"/>
          <w:lang w:val="en-US" w:eastAsia="zh-CN"/>
        </w:rPr>
        <w:t>2.3.1 文明施工组织管理机构构成</w:t>
      </w:r>
      <w:bookmarkEnd w:id="602"/>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建立健全的管理组织机构，成立以项目经理为组长，各管理人员为成员的施工现场文明施工管理组织，对文明施工实施统一管理。</w:t>
      </w:r>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项目施工工长具体负责文明施工管理工作的实施；</w:t>
      </w:r>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综合技术组负责编制文明施工措施；</w:t>
      </w:r>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施工组和安装施工组负责本区域内的文明施工；</w:t>
      </w:r>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综合服务负责办公及生活区域的文明施工工作；</w:t>
      </w:r>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材料管理组负责现场材料的文明施工管理和落实；</w:t>
      </w:r>
    </w:p>
    <w:p>
      <w:pPr>
        <w:numPr>
          <w:ilvl w:val="0"/>
          <w:numId w:val="160"/>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设备管理部负责现场机具的文明施工管理及落实。</w:t>
      </w:r>
    </w:p>
    <w:p>
      <w:pPr>
        <w:pStyle w:val="3"/>
        <w:rPr>
          <w:rFonts w:hint="eastAsia" w:ascii="宋体" w:hAnsi="宋体" w:eastAsia="宋体" w:cs="宋体"/>
          <w:bCs w:val="0"/>
          <w:color w:val="000000"/>
          <w:sz w:val="24"/>
          <w:szCs w:val="24"/>
          <w:lang w:val="en-US" w:eastAsia="zh-CN"/>
        </w:rPr>
      </w:pPr>
      <w:bookmarkStart w:id="603" w:name="_Toc22710"/>
      <w:r>
        <w:rPr>
          <w:rFonts w:hint="eastAsia" w:ascii="宋体" w:hAnsi="宋体" w:eastAsia="宋体" w:cs="宋体"/>
          <w:bCs w:val="0"/>
          <w:color w:val="000000"/>
          <w:sz w:val="24"/>
          <w:szCs w:val="24"/>
          <w:lang w:val="en-US" w:eastAsia="zh-CN"/>
        </w:rPr>
        <w:t>2.3.2 建立和完善文明施工的各项管理制度</w:t>
      </w:r>
      <w:bookmarkEnd w:id="603"/>
    </w:p>
    <w:p>
      <w:pPr>
        <w:spacing w:line="360" w:lineRule="auto"/>
        <w:ind w:firstLine="480" w:firstLineChars="200"/>
        <w:rPr>
          <w:rFonts w:hint="eastAsia" w:ascii="宋体" w:hAnsi="宋体" w:cs="Arial"/>
          <w:color w:val="000000"/>
          <w:sz w:val="24"/>
        </w:rPr>
      </w:pPr>
      <w:r>
        <w:rPr>
          <w:rFonts w:hint="eastAsia" w:ascii="宋体" w:hAnsi="宋体" w:cs="Arial"/>
          <w:color w:val="000000"/>
          <w:sz w:val="24"/>
        </w:rPr>
        <w:t>文明施工不仅涉及到每位员工的生产、生活及工作环境，更主要的是本项目文明施工程度如何，将对周围环境造成很大的影响。因此建立和完善文明施工的各项管理制度是保证文明施工生产正常开展的重要条件，根据本项目的具体条件，将建立以下文明施工生产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生活区管理制度。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项目文明施工生产定期检查制度。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施工现场平面管理制度。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项目办公室管理制度。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材料管理及仓库管理制度。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施工现场环境卫生管理制度。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施工机具平面布置管理及维护保养制度。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成品保护管理制度。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消防管理制度。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项目文明施工个人岗位责任制度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项目文明施工经济责任制度</w:t>
      </w:r>
    </w:p>
    <w:p>
      <w:pPr>
        <w:numPr>
          <w:ilvl w:val="0"/>
          <w:numId w:val="16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项目文明施工检查与奖惩制度</w:t>
      </w:r>
    </w:p>
    <w:p>
      <w:pPr>
        <w:pStyle w:val="4"/>
        <w:numPr>
          <w:ilvl w:val="1"/>
          <w:numId w:val="159"/>
        </w:numPr>
        <w:rPr>
          <w:rFonts w:hint="eastAsia" w:ascii="宋体" w:hAnsi="宋体" w:cs="Arial"/>
          <w:bCs w:val="0"/>
          <w:color w:val="000000"/>
          <w:sz w:val="28"/>
          <w:szCs w:val="28"/>
        </w:rPr>
      </w:pPr>
      <w:bookmarkStart w:id="604" w:name="_Toc8935"/>
      <w:r>
        <w:rPr>
          <w:rFonts w:hint="eastAsia" w:ascii="宋体" w:hAnsi="宋体" w:cs="Arial"/>
          <w:bCs w:val="0"/>
          <w:color w:val="000000"/>
          <w:sz w:val="28"/>
          <w:szCs w:val="28"/>
        </w:rPr>
        <w:t>文明施工及环境管理保证措施</w:t>
      </w:r>
      <w:bookmarkEnd w:id="604"/>
    </w:p>
    <w:p>
      <w:pPr>
        <w:pStyle w:val="3"/>
        <w:rPr>
          <w:rFonts w:hint="eastAsia" w:ascii="宋体" w:hAnsi="宋体" w:eastAsia="宋体" w:cs="宋体"/>
          <w:bCs w:val="0"/>
          <w:color w:val="000000"/>
          <w:sz w:val="24"/>
          <w:szCs w:val="24"/>
          <w:lang w:val="en-US" w:eastAsia="zh-CN"/>
        </w:rPr>
      </w:pPr>
      <w:bookmarkStart w:id="605" w:name="_Toc19527"/>
      <w:r>
        <w:rPr>
          <w:rFonts w:hint="eastAsia" w:ascii="宋体" w:hAnsi="宋体" w:eastAsia="宋体" w:cs="宋体"/>
          <w:bCs w:val="0"/>
          <w:color w:val="000000"/>
          <w:sz w:val="24"/>
          <w:szCs w:val="24"/>
          <w:lang w:val="en-US" w:eastAsia="zh-CN"/>
        </w:rPr>
        <w:t>2.4.1 文明施工及环境管理保证通用措施</w:t>
      </w:r>
      <w:bookmarkEnd w:id="605"/>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加强对施工人员的教育培训工作，使每个施工人员明确文明施工的重要意义，掌握文明施工的标准。从根本上杜绝不文明施工现象的出现。</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施工现场的暂设工程，要有统一规则，并符合建设规划和环境卫生部门的规定。各种暂设工程必须用于工程施工需要，不得改变使用性质，不得居住家属。</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现场必须有施工组织设计和施工平面布置图，并由专人负责管理，各部门及人员应按照施工平面布置图搭建监时设施、安放施工机械、堆放材料和其他安装制品，实行统一管理。</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施工现场的材料堆置要做到材料堆放分类整齐、施工道路通畅、布置有序。</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在施工过程中，各作业工作面必须做到工完料尽、场地清，由各负责人员在下班前检查作业面的清理情况。</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对施工现场的设备、场地、物品勤加打扫，保持现场环境卫生、干净整齐，无垃圾、无污物。</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施工现场根据工程地处环境，要注意控制和减少噪音、杜绝扰民。</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现场材料、工具堆放，合理码放，完成一处，现场清理一处。</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经常检查施工现场的卫生情况，预防疾病和中毒，消除发生安全事故的根源。</w:t>
      </w:r>
    </w:p>
    <w:p>
      <w:pPr>
        <w:numPr>
          <w:ilvl w:val="0"/>
          <w:numId w:val="162"/>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与土建安装、装饰部门积极配合，文明施工，确保该工程为“文明工地”。</w:t>
      </w:r>
    </w:p>
    <w:p>
      <w:pPr>
        <w:pStyle w:val="3"/>
        <w:rPr>
          <w:rFonts w:hint="eastAsia" w:ascii="宋体" w:hAnsi="宋体" w:eastAsia="宋体" w:cs="宋体"/>
          <w:bCs w:val="0"/>
          <w:color w:val="000000"/>
          <w:sz w:val="24"/>
          <w:szCs w:val="24"/>
          <w:lang w:val="en-US" w:eastAsia="zh-CN"/>
        </w:rPr>
      </w:pPr>
      <w:bookmarkStart w:id="606" w:name="_Toc28217"/>
      <w:r>
        <w:rPr>
          <w:rFonts w:hint="eastAsia" w:ascii="宋体" w:hAnsi="宋体" w:eastAsia="宋体" w:cs="宋体"/>
          <w:bCs w:val="0"/>
          <w:color w:val="000000"/>
          <w:sz w:val="24"/>
          <w:szCs w:val="24"/>
          <w:lang w:val="en-US" w:eastAsia="zh-CN"/>
        </w:rPr>
        <w:t>2.4.2 文明施工及环境管理保证具体措施</w:t>
      </w:r>
      <w:bookmarkEnd w:id="606"/>
    </w:p>
    <w:p>
      <w:pPr>
        <w:spacing w:line="360" w:lineRule="auto"/>
        <w:ind w:firstLine="482" w:firstLineChars="200"/>
        <w:rPr>
          <w:rFonts w:hint="eastAsia" w:ascii="宋体" w:hAnsi="宋体" w:cs="Arial"/>
          <w:b/>
          <w:bCs/>
          <w:color w:val="000000"/>
          <w:sz w:val="24"/>
        </w:rPr>
      </w:pP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制定并严格执行以下文明施工措施和规范，设立专职文明施工现场管理小组责任人，24小时管理以下主要内容：</w:t>
      </w:r>
    </w:p>
    <w:p>
      <w:pPr>
        <w:numPr>
          <w:ilvl w:val="2"/>
          <w:numId w:val="164"/>
        </w:numPr>
        <w:spacing w:line="360" w:lineRule="auto"/>
        <w:rPr>
          <w:rFonts w:hint="eastAsia" w:ascii="宋体" w:hAnsi="宋体"/>
          <w:sz w:val="24"/>
        </w:rPr>
      </w:pPr>
      <w:r>
        <w:rPr>
          <w:rFonts w:hint="eastAsia" w:ascii="宋体" w:hAnsi="宋体"/>
          <w:sz w:val="24"/>
        </w:rPr>
        <w:t>现场环境卫生管理；</w:t>
      </w:r>
    </w:p>
    <w:p>
      <w:pPr>
        <w:numPr>
          <w:ilvl w:val="2"/>
          <w:numId w:val="164"/>
        </w:numPr>
        <w:spacing w:line="360" w:lineRule="auto"/>
        <w:rPr>
          <w:rFonts w:hint="eastAsia" w:ascii="宋体" w:hAnsi="宋体"/>
          <w:sz w:val="24"/>
        </w:rPr>
      </w:pPr>
      <w:r>
        <w:rPr>
          <w:rFonts w:hint="eastAsia" w:ascii="宋体" w:hAnsi="宋体"/>
          <w:sz w:val="24"/>
        </w:rPr>
        <w:t>噪音防护处理；</w:t>
      </w:r>
    </w:p>
    <w:p>
      <w:pPr>
        <w:numPr>
          <w:ilvl w:val="2"/>
          <w:numId w:val="164"/>
        </w:numPr>
        <w:spacing w:line="360" w:lineRule="auto"/>
        <w:rPr>
          <w:rFonts w:hint="eastAsia" w:ascii="宋体" w:hAnsi="宋体"/>
          <w:sz w:val="24"/>
        </w:rPr>
      </w:pPr>
      <w:r>
        <w:rPr>
          <w:rFonts w:hint="eastAsia" w:ascii="宋体" w:hAnsi="宋体"/>
          <w:sz w:val="24"/>
        </w:rPr>
        <w:t>汽车出入；</w:t>
      </w:r>
    </w:p>
    <w:p>
      <w:pPr>
        <w:numPr>
          <w:ilvl w:val="2"/>
          <w:numId w:val="164"/>
        </w:numPr>
        <w:spacing w:line="360" w:lineRule="auto"/>
        <w:rPr>
          <w:rFonts w:hint="eastAsia" w:ascii="宋体" w:hAnsi="宋体"/>
          <w:sz w:val="24"/>
        </w:rPr>
      </w:pPr>
      <w:r>
        <w:rPr>
          <w:rFonts w:hint="eastAsia" w:ascii="宋体" w:hAnsi="宋体"/>
          <w:sz w:val="24"/>
        </w:rPr>
        <w:t>秋冬物燥防火；</w:t>
      </w:r>
    </w:p>
    <w:p>
      <w:pPr>
        <w:numPr>
          <w:ilvl w:val="2"/>
          <w:numId w:val="164"/>
        </w:numPr>
        <w:spacing w:line="360" w:lineRule="auto"/>
        <w:rPr>
          <w:rFonts w:hint="eastAsia" w:ascii="宋体" w:hAnsi="宋体"/>
          <w:sz w:val="24"/>
        </w:rPr>
      </w:pPr>
      <w:r>
        <w:rPr>
          <w:rFonts w:hint="eastAsia" w:ascii="宋体" w:hAnsi="宋体"/>
          <w:sz w:val="24"/>
        </w:rPr>
        <w:t>周围环境卫生打扫、冲洗、喷水、降尘；</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2、整体场容场貌</w:t>
      </w:r>
    </w:p>
    <w:p>
      <w:pPr>
        <w:numPr>
          <w:ilvl w:val="2"/>
          <w:numId w:val="165"/>
        </w:numPr>
        <w:spacing w:line="360" w:lineRule="auto"/>
        <w:rPr>
          <w:rFonts w:hint="eastAsia" w:ascii="宋体" w:hAnsi="宋体"/>
          <w:sz w:val="24"/>
        </w:rPr>
      </w:pPr>
      <w:r>
        <w:rPr>
          <w:rFonts w:hint="eastAsia" w:ascii="宋体" w:hAnsi="宋体"/>
          <w:sz w:val="24"/>
        </w:rPr>
        <w:t>标识：工地</w:t>
      </w:r>
      <w:r>
        <w:rPr>
          <w:rFonts w:hint="eastAsia" w:hAnsi="宋体"/>
          <w:sz w:val="24"/>
          <w:lang w:val="en-US" w:eastAsia="zh-CN"/>
        </w:rPr>
        <w:t>有围挡的</w:t>
      </w:r>
      <w:r>
        <w:rPr>
          <w:rFonts w:hint="eastAsia" w:ascii="宋体" w:hAnsi="宋体"/>
          <w:sz w:val="24"/>
        </w:rPr>
        <w:t>，外墙上应挂设施工许可证标牌及“五牌一图”。</w:t>
      </w:r>
    </w:p>
    <w:p>
      <w:pPr>
        <w:numPr>
          <w:ilvl w:val="2"/>
          <w:numId w:val="165"/>
        </w:numPr>
        <w:spacing w:line="360" w:lineRule="auto"/>
        <w:rPr>
          <w:rFonts w:hint="eastAsia" w:ascii="宋体" w:hAnsi="宋体"/>
          <w:sz w:val="24"/>
        </w:rPr>
      </w:pPr>
      <w:r>
        <w:rPr>
          <w:rFonts w:hint="eastAsia" w:ascii="宋体" w:hAnsi="宋体"/>
          <w:sz w:val="24"/>
        </w:rPr>
        <w:t>工地内要物以类聚，各类材料和机具分类放置，必须做到各类物资码放整齐，内部道路通畅。</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现场文明施工、环境保护管理规定</w:t>
      </w:r>
    </w:p>
    <w:p>
      <w:pPr>
        <w:numPr>
          <w:ilvl w:val="2"/>
          <w:numId w:val="166"/>
        </w:numPr>
        <w:spacing w:line="360" w:lineRule="auto"/>
        <w:rPr>
          <w:rFonts w:hint="eastAsia" w:ascii="宋体" w:hAnsi="宋体"/>
          <w:sz w:val="24"/>
        </w:rPr>
      </w:pPr>
      <w:r>
        <w:rPr>
          <w:rFonts w:hint="eastAsia" w:ascii="宋体" w:hAnsi="宋体"/>
          <w:sz w:val="24"/>
        </w:rPr>
        <w:t>室外施工场地：</w:t>
      </w:r>
      <w:r>
        <w:rPr>
          <w:rFonts w:hint="eastAsia" w:hAnsi="宋体"/>
          <w:sz w:val="24"/>
          <w:lang w:val="en-US" w:eastAsia="zh-CN"/>
        </w:rPr>
        <w:t>清理杂物、指挥社会车辆挪移</w:t>
      </w:r>
      <w:r>
        <w:rPr>
          <w:rFonts w:hint="eastAsia" w:ascii="宋体" w:hAnsi="宋体"/>
          <w:sz w:val="24"/>
        </w:rPr>
        <w:t>，</w:t>
      </w:r>
      <w:r>
        <w:rPr>
          <w:rFonts w:hint="eastAsia" w:hAnsi="宋体"/>
          <w:sz w:val="24"/>
          <w:lang w:val="en-US" w:eastAsia="zh-CN"/>
        </w:rPr>
        <w:t>保障</w:t>
      </w:r>
      <w:r>
        <w:rPr>
          <w:rFonts w:hint="eastAsia" w:ascii="宋体" w:hAnsi="宋体"/>
          <w:sz w:val="24"/>
        </w:rPr>
        <w:t>重型吊车能顺利通过方便施工。</w:t>
      </w:r>
      <w:r>
        <w:rPr>
          <w:rFonts w:hint="eastAsia" w:hAnsi="宋体"/>
          <w:sz w:val="24"/>
          <w:lang w:val="en-US" w:eastAsia="zh-CN"/>
        </w:rPr>
        <w:t>在</w:t>
      </w:r>
      <w:r>
        <w:rPr>
          <w:rFonts w:hint="eastAsia" w:ascii="宋体" w:hAnsi="宋体"/>
          <w:sz w:val="24"/>
        </w:rPr>
        <w:t>吊车</w:t>
      </w:r>
      <w:r>
        <w:rPr>
          <w:rFonts w:hint="eastAsia" w:hAnsi="宋体"/>
          <w:sz w:val="24"/>
          <w:lang w:val="en-US" w:eastAsia="zh-CN"/>
        </w:rPr>
        <w:t>作业区设置警示标志和专职安全员，现场疏导社会车辆及行人。</w:t>
      </w:r>
    </w:p>
    <w:p>
      <w:pPr>
        <w:numPr>
          <w:ilvl w:val="2"/>
          <w:numId w:val="166"/>
        </w:numPr>
        <w:spacing w:line="360" w:lineRule="auto"/>
        <w:rPr>
          <w:rFonts w:hint="eastAsia" w:ascii="宋体" w:hAnsi="宋体"/>
          <w:sz w:val="24"/>
        </w:rPr>
      </w:pPr>
      <w:r>
        <w:rPr>
          <w:rFonts w:hint="eastAsia" w:ascii="宋体" w:hAnsi="宋体"/>
          <w:sz w:val="24"/>
        </w:rPr>
        <w:t>室内施工场地：</w:t>
      </w:r>
      <w:r>
        <w:rPr>
          <w:rFonts w:hint="eastAsia" w:hAnsi="宋体"/>
          <w:sz w:val="24"/>
          <w:lang w:val="en-US" w:eastAsia="zh-CN"/>
        </w:rPr>
        <w:t>设置施工标识牌，</w:t>
      </w:r>
      <w:r>
        <w:rPr>
          <w:rFonts w:hint="eastAsia" w:ascii="宋体" w:hAnsi="宋体"/>
          <w:sz w:val="24"/>
        </w:rPr>
        <w:t>临时施工杂物、垃圾按规定的区域堆放并定时清运。</w:t>
      </w:r>
    </w:p>
    <w:p>
      <w:pPr>
        <w:numPr>
          <w:ilvl w:val="2"/>
          <w:numId w:val="166"/>
        </w:numPr>
        <w:spacing w:line="360" w:lineRule="auto"/>
        <w:rPr>
          <w:rFonts w:hint="eastAsia" w:ascii="宋体" w:hAnsi="宋体"/>
          <w:sz w:val="24"/>
        </w:rPr>
      </w:pPr>
      <w:r>
        <w:rPr>
          <w:rFonts w:hint="eastAsia" w:ascii="宋体" w:hAnsi="宋体"/>
          <w:sz w:val="24"/>
        </w:rPr>
        <w:t>现场管理人员和各类操作人员要戴不同颜色安全帽，以示区别。</w:t>
      </w:r>
    </w:p>
    <w:p>
      <w:pPr>
        <w:numPr>
          <w:ilvl w:val="0"/>
          <w:numId w:val="16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施工管理人员戴红色安全帽</w:t>
      </w:r>
    </w:p>
    <w:p>
      <w:pPr>
        <w:numPr>
          <w:ilvl w:val="0"/>
          <w:numId w:val="16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特种作业人员戴蓝色安全帽</w:t>
      </w:r>
    </w:p>
    <w:p>
      <w:pPr>
        <w:numPr>
          <w:ilvl w:val="0"/>
          <w:numId w:val="16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生产班组作业人员戴黄色安全帽</w:t>
      </w:r>
    </w:p>
    <w:p>
      <w:pPr>
        <w:numPr>
          <w:ilvl w:val="0"/>
          <w:numId w:val="167"/>
        </w:numPr>
        <w:spacing w:line="360" w:lineRule="auto"/>
        <w:ind w:left="2040" w:leftChars="0" w:hanging="425" w:firstLineChars="0"/>
        <w:rPr>
          <w:rFonts w:hint="eastAsia" w:ascii="宋体" w:hAnsi="宋体" w:eastAsia="宋体" w:cs="宋体"/>
          <w:sz w:val="24"/>
          <w:szCs w:val="24"/>
        </w:rPr>
      </w:pPr>
      <w:r>
        <w:rPr>
          <w:rFonts w:hint="eastAsia" w:ascii="宋体" w:hAnsi="宋体" w:eastAsia="宋体" w:cs="宋体"/>
          <w:sz w:val="24"/>
          <w:szCs w:val="24"/>
        </w:rPr>
        <w:t>质安员戴白色安全帽</w:t>
      </w:r>
    </w:p>
    <w:p>
      <w:pPr>
        <w:numPr>
          <w:ilvl w:val="2"/>
          <w:numId w:val="166"/>
        </w:numPr>
        <w:spacing w:line="360" w:lineRule="auto"/>
        <w:rPr>
          <w:rFonts w:hint="eastAsia" w:ascii="宋体" w:hAnsi="宋体" w:eastAsia="宋体" w:cs="宋体"/>
          <w:sz w:val="24"/>
          <w:szCs w:val="24"/>
        </w:rPr>
      </w:pPr>
      <w:r>
        <w:rPr>
          <w:rFonts w:hint="eastAsia" w:ascii="宋体" w:hAnsi="宋体"/>
          <w:sz w:val="24"/>
          <w:lang w:val="en-US" w:eastAsia="zh-CN"/>
        </w:rPr>
        <w:t>采取有效措施保护施工现场周围地下管线，尤其在重型车辆的出入口处。施工现场及周围不得随意开挖，如地下管网被损坏，应及时会同有关部门修复。</w:t>
      </w:r>
    </w:p>
    <w:p>
      <w:pPr>
        <w:numPr>
          <w:ilvl w:val="2"/>
          <w:numId w:val="166"/>
        </w:numPr>
        <w:spacing w:line="360" w:lineRule="auto"/>
        <w:rPr>
          <w:rFonts w:hint="eastAsia" w:ascii="宋体" w:hAnsi="宋体" w:eastAsia="宋体" w:cs="宋体"/>
          <w:sz w:val="24"/>
          <w:szCs w:val="24"/>
        </w:rPr>
      </w:pPr>
      <w:r>
        <w:rPr>
          <w:rFonts w:hint="eastAsia"/>
          <w:sz w:val="27"/>
        </w:rPr>
        <w:t>合理安排施工进度，缩短</w:t>
      </w:r>
      <w:r>
        <w:rPr>
          <w:rFonts w:hint="eastAsia"/>
          <w:sz w:val="27"/>
          <w:lang w:val="en-US" w:eastAsia="zh-CN"/>
        </w:rPr>
        <w:t>管沟开挖</w:t>
      </w:r>
      <w:r>
        <w:rPr>
          <w:rFonts w:hint="eastAsia"/>
          <w:sz w:val="27"/>
        </w:rPr>
        <w:t>工期，早日回填土方，减少</w:t>
      </w:r>
      <w:r>
        <w:rPr>
          <w:rFonts w:hint="eastAsia"/>
          <w:sz w:val="27"/>
          <w:lang w:val="en-US" w:eastAsia="zh-CN"/>
        </w:rPr>
        <w:t>对周边环境的</w:t>
      </w:r>
      <w:r>
        <w:rPr>
          <w:rFonts w:hint="eastAsia"/>
          <w:sz w:val="27"/>
        </w:rPr>
        <w:t>影响。</w:t>
      </w:r>
    </w:p>
    <w:p>
      <w:pPr>
        <w:numPr>
          <w:ilvl w:val="2"/>
          <w:numId w:val="166"/>
        </w:numPr>
        <w:spacing w:line="360" w:lineRule="auto"/>
        <w:rPr>
          <w:rFonts w:hint="eastAsia"/>
          <w:sz w:val="27"/>
        </w:rPr>
      </w:pPr>
      <w:r>
        <w:rPr>
          <w:rFonts w:hint="eastAsia"/>
          <w:sz w:val="27"/>
        </w:rPr>
        <w:t>注意夜间照明灯光的投射，在施工区内进行作业封闭，尽量降低光污染。</w:t>
      </w:r>
    </w:p>
    <w:p>
      <w:pPr>
        <w:numPr>
          <w:ilvl w:val="2"/>
          <w:numId w:val="166"/>
        </w:numPr>
        <w:spacing w:line="360" w:lineRule="auto"/>
        <w:rPr>
          <w:rFonts w:hint="eastAsia"/>
          <w:sz w:val="27"/>
        </w:rPr>
      </w:pPr>
      <w:r>
        <w:rPr>
          <w:rFonts w:hint="eastAsia"/>
          <w:sz w:val="27"/>
        </w:rPr>
        <w:t>在施工场地外围进行噪音监测。对于一些产生噪音的施工机械，应采取有效的措施减少噪音，如切割金属和锯模板的场地均搭设工棚以屏蔽噪音。</w:t>
      </w:r>
    </w:p>
    <w:p>
      <w:pPr>
        <w:numPr>
          <w:ilvl w:val="2"/>
          <w:numId w:val="166"/>
        </w:numPr>
        <w:spacing w:line="360" w:lineRule="auto"/>
        <w:rPr>
          <w:rFonts w:hint="eastAsia"/>
          <w:sz w:val="27"/>
        </w:rPr>
      </w:pPr>
      <w:r>
        <w:rPr>
          <w:rFonts w:hint="eastAsia"/>
          <w:sz w:val="27"/>
        </w:rPr>
        <w:t>施工中采用低噪音的施工机械、施工工艺和施工方法</w:t>
      </w:r>
      <w:r>
        <w:rPr>
          <w:rFonts w:hint="eastAsia"/>
          <w:sz w:val="27"/>
          <w:lang w:eastAsia="zh-CN"/>
        </w:rPr>
        <w:t>，</w:t>
      </w:r>
      <w:r>
        <w:rPr>
          <w:rFonts w:hint="eastAsia"/>
          <w:sz w:val="27"/>
          <w:lang w:val="en-US" w:eastAsia="zh-CN"/>
        </w:rPr>
        <w:t>降低噪音污染</w:t>
      </w:r>
      <w:r>
        <w:rPr>
          <w:rFonts w:hint="eastAsia"/>
          <w:sz w:val="27"/>
        </w:rPr>
        <w:t>。</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安全警示标志：加强现场宣传教育工作，在施工现场的醒目位置设有相关的安全警示标志，人员进入施工现场必须戴安全帽。</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安全防护设施：物料装拆时严禁随意掷物，排栅架子、安全网设置必须符合规范要求，临边、洞口要按规范要求做好安全防护设施。</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现场图表规格：施工现场办公室内要有施工平面布置图、施工进度计划表、晴雨表以及各岗位责任制制度等张贴上墙，且要求内容清晰、图实相符，随施工不同阶段及时进行调整。</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工人的管理：</w:t>
      </w:r>
    </w:p>
    <w:p>
      <w:pPr>
        <w:numPr>
          <w:ilvl w:val="2"/>
          <w:numId w:val="168"/>
        </w:numPr>
        <w:spacing w:line="360" w:lineRule="auto"/>
        <w:rPr>
          <w:rFonts w:hint="eastAsia" w:ascii="宋体" w:hAnsi="宋体"/>
          <w:sz w:val="24"/>
        </w:rPr>
      </w:pPr>
      <w:r>
        <w:rPr>
          <w:rFonts w:hint="eastAsia" w:ascii="宋体" w:hAnsi="宋体"/>
          <w:sz w:val="24"/>
        </w:rPr>
        <w:t>建立工人档案，做好“证卡”登记。</w:t>
      </w:r>
    </w:p>
    <w:p>
      <w:pPr>
        <w:numPr>
          <w:ilvl w:val="2"/>
          <w:numId w:val="168"/>
        </w:numPr>
        <w:spacing w:line="360" w:lineRule="auto"/>
        <w:rPr>
          <w:rFonts w:hint="eastAsia" w:ascii="宋体" w:hAnsi="宋体"/>
          <w:sz w:val="24"/>
        </w:rPr>
      </w:pPr>
      <w:r>
        <w:rPr>
          <w:rFonts w:hint="eastAsia" w:ascii="宋体" w:hAnsi="宋体"/>
          <w:sz w:val="24"/>
        </w:rPr>
        <w:t>施工班组人员进场后由安全文明领导小组对其进行安全技术交底，并进行三级安全教育（班组、项目部、公司），填写新工人入场三级安全教育登记表、“三级”安全教育记录表。</w:t>
      </w:r>
    </w:p>
    <w:p>
      <w:pPr>
        <w:numPr>
          <w:ilvl w:val="2"/>
          <w:numId w:val="168"/>
        </w:numPr>
        <w:spacing w:line="360" w:lineRule="auto"/>
        <w:rPr>
          <w:rFonts w:hint="eastAsia" w:ascii="宋体" w:hAnsi="宋体"/>
          <w:sz w:val="24"/>
        </w:rPr>
      </w:pPr>
      <w:r>
        <w:rPr>
          <w:rFonts w:hint="eastAsia" w:ascii="宋体" w:hAnsi="宋体"/>
          <w:sz w:val="24"/>
        </w:rPr>
        <w:t>班组长必须对所管辖的人员全面负责，项目部与班组长签订防火、治安、卫生责任状，落实宿舍管理责任。</w:t>
      </w:r>
    </w:p>
    <w:p>
      <w:pPr>
        <w:numPr>
          <w:ilvl w:val="2"/>
          <w:numId w:val="168"/>
        </w:numPr>
        <w:spacing w:line="360" w:lineRule="auto"/>
        <w:rPr>
          <w:rFonts w:hint="eastAsia" w:ascii="宋体" w:hAnsi="宋体"/>
          <w:color w:val="000000"/>
          <w:sz w:val="28"/>
        </w:rPr>
      </w:pPr>
      <w:r>
        <w:rPr>
          <w:rFonts w:hint="eastAsia" w:ascii="宋体" w:hAnsi="宋体"/>
          <w:sz w:val="24"/>
        </w:rPr>
        <w:t>施工单位必须成立卫生领导小组。落实宿舍区的“爱卫”责任人。</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机械设备管理规定：</w:t>
      </w:r>
    </w:p>
    <w:p>
      <w:pPr>
        <w:numPr>
          <w:ilvl w:val="2"/>
          <w:numId w:val="169"/>
        </w:numPr>
        <w:spacing w:line="360" w:lineRule="auto"/>
        <w:rPr>
          <w:rFonts w:hint="eastAsia" w:ascii="宋体" w:hAnsi="宋体"/>
          <w:sz w:val="24"/>
        </w:rPr>
      </w:pPr>
      <w:r>
        <w:rPr>
          <w:rFonts w:hint="eastAsia" w:ascii="宋体" w:hAnsi="宋体"/>
          <w:sz w:val="24"/>
        </w:rPr>
        <w:t>施工现场固定安装的机械设备基础部分不得积水，视不同的设备种类搭设适用、牢固的操作台和机棚，并在显眼处张挂公司统一的安全操作警示牌。</w:t>
      </w:r>
    </w:p>
    <w:p>
      <w:pPr>
        <w:numPr>
          <w:ilvl w:val="2"/>
          <w:numId w:val="169"/>
        </w:numPr>
        <w:spacing w:line="360" w:lineRule="auto"/>
        <w:rPr>
          <w:rFonts w:hint="eastAsia" w:ascii="宋体" w:hAnsi="宋体"/>
          <w:sz w:val="24"/>
        </w:rPr>
      </w:pPr>
      <w:r>
        <w:rPr>
          <w:rFonts w:hint="eastAsia" w:ascii="宋体" w:hAnsi="宋体"/>
          <w:sz w:val="24"/>
        </w:rPr>
        <w:t>施工现场流动安装的小型机具，要设置简易有效的临时防雨设施。</w:t>
      </w:r>
    </w:p>
    <w:p>
      <w:pPr>
        <w:numPr>
          <w:ilvl w:val="2"/>
          <w:numId w:val="169"/>
        </w:numPr>
        <w:spacing w:line="360" w:lineRule="auto"/>
        <w:rPr>
          <w:rFonts w:hint="eastAsia" w:ascii="宋体" w:hAnsi="宋体"/>
          <w:sz w:val="24"/>
        </w:rPr>
      </w:pPr>
      <w:r>
        <w:rPr>
          <w:rFonts w:hint="eastAsia" w:ascii="宋体" w:hAnsi="宋体"/>
          <w:sz w:val="24"/>
        </w:rPr>
        <w:t>各种施工机具班后要按规程进行保养，保持机容整洁。</w:t>
      </w:r>
    </w:p>
    <w:p>
      <w:pPr>
        <w:numPr>
          <w:ilvl w:val="2"/>
          <w:numId w:val="169"/>
        </w:numPr>
        <w:spacing w:line="360" w:lineRule="auto"/>
        <w:rPr>
          <w:rFonts w:hint="eastAsia" w:ascii="宋体" w:hAnsi="宋体"/>
          <w:sz w:val="24"/>
        </w:rPr>
      </w:pPr>
      <w:r>
        <w:rPr>
          <w:rFonts w:hint="eastAsia" w:ascii="宋体" w:hAnsi="宋体"/>
          <w:sz w:val="24"/>
        </w:rPr>
        <w:t>施工现场安装的各种机械设备进场前，机械表面应油漆翻新，保持机械设备清洁完整。</w:t>
      </w:r>
    </w:p>
    <w:p>
      <w:pPr>
        <w:numPr>
          <w:ilvl w:val="2"/>
          <w:numId w:val="169"/>
        </w:numPr>
        <w:spacing w:line="360" w:lineRule="auto"/>
        <w:rPr>
          <w:rFonts w:hint="eastAsia" w:ascii="宋体" w:hAnsi="宋体"/>
          <w:sz w:val="24"/>
        </w:rPr>
      </w:pPr>
      <w:r>
        <w:rPr>
          <w:rFonts w:hint="eastAsia" w:ascii="宋体" w:hAnsi="宋体"/>
          <w:sz w:val="24"/>
        </w:rPr>
        <w:t>现场供配电干线安装架设要稳固整齐，相线零线要按顺序敷设布置，架设高度必须符合规范。</w:t>
      </w:r>
    </w:p>
    <w:p>
      <w:pPr>
        <w:numPr>
          <w:ilvl w:val="2"/>
          <w:numId w:val="169"/>
        </w:numPr>
        <w:spacing w:line="360" w:lineRule="auto"/>
        <w:rPr>
          <w:rFonts w:hint="eastAsia" w:ascii="宋体" w:hAnsi="宋体"/>
          <w:sz w:val="24"/>
        </w:rPr>
      </w:pPr>
      <w:r>
        <w:rPr>
          <w:rFonts w:hint="eastAsia" w:ascii="宋体" w:hAnsi="宋体"/>
          <w:sz w:val="24"/>
        </w:rPr>
        <w:t>施工现场安装的配电箱、开关箱采用公司统一的标准箱，箱门加锁。</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施工现场卫生</w:t>
      </w:r>
    </w:p>
    <w:p>
      <w:pPr>
        <w:numPr>
          <w:ilvl w:val="2"/>
          <w:numId w:val="170"/>
        </w:numPr>
        <w:spacing w:line="360" w:lineRule="auto"/>
        <w:rPr>
          <w:rFonts w:hint="eastAsia" w:ascii="宋体" w:hAnsi="宋体"/>
          <w:sz w:val="24"/>
        </w:rPr>
      </w:pPr>
      <w:r>
        <w:rPr>
          <w:rFonts w:hint="eastAsia" w:ascii="宋体" w:hAnsi="宋体"/>
          <w:sz w:val="24"/>
        </w:rPr>
        <w:t>水沟无滋生蚊蝇，排水沟无垃圾堵塞。</w:t>
      </w:r>
    </w:p>
    <w:p>
      <w:pPr>
        <w:numPr>
          <w:ilvl w:val="2"/>
          <w:numId w:val="170"/>
        </w:numPr>
        <w:spacing w:line="360" w:lineRule="auto"/>
        <w:rPr>
          <w:rFonts w:hint="eastAsia" w:ascii="宋体" w:hAnsi="宋体"/>
          <w:sz w:val="24"/>
        </w:rPr>
      </w:pPr>
      <w:r>
        <w:rPr>
          <w:rFonts w:hint="eastAsia" w:ascii="宋体" w:hAnsi="宋体"/>
          <w:sz w:val="24"/>
        </w:rPr>
        <w:t>设卫生责任人，有卫生检查记录。</w:t>
      </w:r>
    </w:p>
    <w:p>
      <w:pPr>
        <w:numPr>
          <w:ilvl w:val="2"/>
          <w:numId w:val="170"/>
        </w:numPr>
        <w:spacing w:line="360" w:lineRule="auto"/>
        <w:rPr>
          <w:rFonts w:hint="eastAsia" w:ascii="宋体" w:hAnsi="宋体"/>
          <w:sz w:val="24"/>
        </w:rPr>
      </w:pPr>
      <w:r>
        <w:rPr>
          <w:rFonts w:hint="eastAsia" w:hAnsi="宋体"/>
          <w:sz w:val="24"/>
          <w:lang w:val="en-US" w:eastAsia="zh-CN"/>
        </w:rPr>
        <w:t>人走场清，离开施工现场前整理好极具机械和材料，打扫周边卫生，施工垃圾</w:t>
      </w:r>
      <w:r>
        <w:rPr>
          <w:rFonts w:hint="eastAsia" w:ascii="宋体" w:hAnsi="宋体"/>
          <w:sz w:val="24"/>
        </w:rPr>
        <w:t>按规定的区域堆放并定时清运。</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施工现场禁止吸烟，吸烟要到指定的吸烟区去。</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施工管理人员统一佩戴公司员工卡。</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进入施工现场的人员佩带胸卡，对施工人员进行文明施工交底，禁止外来人员随便进出施工场地。</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根据施工总平面布置图，按规划堆放建筑材料、构件、料具并给予标识。</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易燃易爆物品分类堆放并给予标识。</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制定消防制度，配置消防设施，按照要求办理动火手续。</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施工场地张贴安全标语及环境标语。</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定期对场地卫生清洁检查，清疏沟渠、积水，定期灭蚊。每天由专人打扫、清理公共生活场所卫生。</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建立文明施工责任人制度，加强对工人宣传教育工作，在工地大门口张拉宣传横幅，工地内张贴宣传标语，现场人员一律佩带工作胸卡，施工、生活污水要经过滤池及砂井才排放入市政管道。</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制定保健急救措施，落实现场配置措施。</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落实防尘、防噪音措施。</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根据要求的时间施工，夜间加班要办理夜间施工许可证，方能施工。</w:t>
      </w:r>
    </w:p>
    <w:p>
      <w:pPr>
        <w:numPr>
          <w:ilvl w:val="0"/>
          <w:numId w:val="163"/>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开展创文明工地，树立企业良好形象活动，力争文明施工样板工地。</w:t>
      </w:r>
    </w:p>
    <w:p>
      <w:pPr>
        <w:pStyle w:val="3"/>
        <w:rPr>
          <w:rFonts w:hint="eastAsia" w:ascii="宋体" w:hAnsi="宋体" w:eastAsia="宋体" w:cs="宋体"/>
          <w:bCs w:val="0"/>
          <w:color w:val="000000"/>
          <w:sz w:val="24"/>
          <w:szCs w:val="24"/>
          <w:lang w:val="en-US" w:eastAsia="zh-CN"/>
        </w:rPr>
      </w:pPr>
      <w:bookmarkStart w:id="607" w:name="_Toc19550"/>
      <w:r>
        <w:rPr>
          <w:rFonts w:hint="eastAsia" w:ascii="宋体" w:hAnsi="宋体" w:eastAsia="宋体" w:cs="宋体"/>
          <w:bCs w:val="0"/>
          <w:color w:val="000000"/>
          <w:sz w:val="24"/>
          <w:szCs w:val="24"/>
          <w:lang w:val="en-US" w:eastAsia="zh-CN"/>
        </w:rPr>
        <w:t>2.4.3 环境保护具体措施</w:t>
      </w:r>
      <w:bookmarkEnd w:id="607"/>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加强环境保护领导工作，明确责任制，加强技术计划、奖惩制度的管理。</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人人注意保护环境，保护人类的生存环境。</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建筑垃圾要及时运走，粪便按规定处理，场貌、道路、材料堆放要符合要求。</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凡是粉、尘、垃圾排放时，噪单振动都要按规定办理手续后才能处理，并不能超过国家标准，做好记录监控资料，实现环境管理目标。</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消除一切有害人类健康环境，为工作创造良好的条件，把工作搞得更好，为企业降低成本，增加生产。特别要注意防止食品的污染。</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配置环境保护设备如降尘喷雾机、工业吸尘器等，保护施工现场环境。</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禁止在施工现场焚烧废旧材料、有毒、有害和有恶臭气味的物质。</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严禁随意抛掷垃圾，所有垃圾装袋运出。运输车辆必须冲洗干净后方能离场上路行驶；装运建筑材料、土石方、建筑垃圾及工程渣土的车辆，用苫布覆盖，并派专人负责清扫道路及冲洗，保证行驶途中不污染道路和环境。</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施工现场周围搭设安全保护措施。现场工人不得随意乱扔、乱抛垃圾、脏水，维护现场及周围道路畅通、整洁，保护好周围绿化、道路等设施。</w:t>
      </w:r>
    </w:p>
    <w:p>
      <w:pPr>
        <w:numPr>
          <w:ilvl w:val="0"/>
          <w:numId w:val="171"/>
        </w:numPr>
        <w:tabs>
          <w:tab w:val="left" w:pos="900"/>
          <w:tab w:val="clear" w:pos="420"/>
        </w:tabs>
        <w:spacing w:line="360" w:lineRule="auto"/>
        <w:ind w:left="900" w:hanging="540"/>
        <w:rPr>
          <w:rFonts w:hint="eastAsia" w:hAnsi="宋体" w:cs="Arial"/>
          <w:color w:val="000000"/>
          <w:sz w:val="24"/>
          <w:lang w:val="en-US" w:eastAsia="zh-CN"/>
        </w:rPr>
      </w:pPr>
      <w:r>
        <w:rPr>
          <w:rFonts w:hint="eastAsia" w:hAnsi="宋体" w:cs="Arial"/>
          <w:color w:val="000000"/>
          <w:sz w:val="24"/>
          <w:lang w:val="en-US" w:eastAsia="zh-CN"/>
        </w:rPr>
        <w:t>采用科学的施工方式，在安全施工的前提下保护好周边环境，从防噪声、防强光、防粉尘着手建立防护机制。</w:t>
      </w:r>
    </w:p>
    <w:p>
      <w:pPr>
        <w:widowControl w:val="0"/>
        <w:numPr>
          <w:numId w:val="0"/>
        </w:numPr>
        <w:tabs>
          <w:tab w:val="left" w:pos="900"/>
        </w:tabs>
        <w:spacing w:line="360" w:lineRule="auto"/>
        <w:jc w:val="both"/>
        <w:rPr>
          <w:rFonts w:hint="eastAsia" w:hAnsi="宋体" w:cs="Arial"/>
          <w:color w:val="000000"/>
          <w:sz w:val="24"/>
          <w:lang w:val="en-US" w:eastAsia="zh-CN"/>
        </w:rPr>
      </w:pPr>
    </w:p>
    <w:p>
      <w:pPr>
        <w:widowControl w:val="0"/>
        <w:numPr>
          <w:numId w:val="0"/>
        </w:numPr>
        <w:tabs>
          <w:tab w:val="left" w:pos="900"/>
        </w:tabs>
        <w:spacing w:line="360" w:lineRule="auto"/>
        <w:jc w:val="both"/>
        <w:rPr>
          <w:rFonts w:hint="eastAsia" w:hAnsi="宋体" w:cs="Arial"/>
          <w:color w:val="000000"/>
          <w:sz w:val="24"/>
          <w:lang w:val="en-US" w:eastAsia="zh-CN"/>
        </w:rPr>
      </w:pPr>
    </w:p>
    <w:p>
      <w:pPr>
        <w:widowControl w:val="0"/>
        <w:numPr>
          <w:numId w:val="0"/>
        </w:numPr>
        <w:tabs>
          <w:tab w:val="left" w:pos="900"/>
        </w:tabs>
        <w:spacing w:line="360" w:lineRule="auto"/>
        <w:jc w:val="right"/>
        <w:rPr>
          <w:rFonts w:hint="eastAsia" w:hAnsi="宋体" w:cs="Arial"/>
          <w:color w:val="000000"/>
          <w:sz w:val="24"/>
          <w:lang w:val="en-US" w:eastAsia="zh-CN"/>
        </w:rPr>
      </w:pPr>
      <w:bookmarkStart w:id="608" w:name="_GoBack"/>
      <w:r>
        <w:rPr>
          <w:rFonts w:hint="eastAsia" w:hAnsi="宋体" w:cs="Arial"/>
          <w:color w:val="000000"/>
          <w:sz w:val="24"/>
          <w:lang w:val="en-US" w:eastAsia="zh-CN"/>
        </w:rPr>
        <w:t>陕西安鸣实业有限公司</w:t>
      </w:r>
    </w:p>
    <w:p>
      <w:pPr>
        <w:widowControl w:val="0"/>
        <w:numPr>
          <w:numId w:val="0"/>
        </w:numPr>
        <w:tabs>
          <w:tab w:val="left" w:pos="900"/>
        </w:tabs>
        <w:spacing w:line="360" w:lineRule="auto"/>
        <w:jc w:val="right"/>
        <w:rPr>
          <w:rFonts w:hint="eastAsia" w:hAnsi="宋体" w:cs="Arial"/>
          <w:color w:val="000000"/>
          <w:sz w:val="24"/>
          <w:lang w:val="en-US" w:eastAsia="zh-CN"/>
        </w:rPr>
      </w:pPr>
    </w:p>
    <w:p>
      <w:pPr>
        <w:widowControl w:val="0"/>
        <w:numPr>
          <w:numId w:val="0"/>
        </w:numPr>
        <w:tabs>
          <w:tab w:val="left" w:pos="900"/>
        </w:tabs>
        <w:spacing w:line="360" w:lineRule="auto"/>
        <w:jc w:val="right"/>
        <w:rPr>
          <w:rFonts w:hint="default" w:hAnsi="宋体" w:cs="Arial"/>
          <w:color w:val="000000"/>
          <w:sz w:val="24"/>
          <w:lang w:val="en-US" w:eastAsia="zh-CN"/>
        </w:rPr>
      </w:pPr>
      <w:r>
        <w:rPr>
          <w:rFonts w:hint="eastAsia" w:hAnsi="宋体" w:cs="Arial"/>
          <w:color w:val="000000"/>
          <w:sz w:val="24"/>
          <w:lang w:val="en-US" w:eastAsia="zh-CN"/>
        </w:rPr>
        <w:t>2022年4月1日</w:t>
      </w:r>
    </w:p>
    <w:bookmarkEnd w:id="608"/>
    <w:sectPr>
      <w:pgSz w:w="11906" w:h="16838"/>
      <w:pgMar w:top="1440" w:right="1797" w:bottom="1440" w:left="1797" w:header="851" w:footer="992" w:gutter="0"/>
      <w:pgBorders>
        <w:top w:val="none" w:sz="0" w:space="0"/>
        <w:left w:val="none" w:sz="0" w:space="0"/>
        <w:bottom w:val="none" w:sz="0" w:space="0"/>
        <w:right w:val="none" w:sz="0" w:space="0"/>
      </w:pgBorders>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FCD93D"/>
    <w:multiLevelType w:val="singleLevel"/>
    <w:tmpl w:val="80FCD93D"/>
    <w:lvl w:ilvl="0" w:tentative="0">
      <w:start w:val="1"/>
      <w:numFmt w:val="lowerLetter"/>
      <w:lvlText w:val="%1."/>
      <w:lvlJc w:val="left"/>
      <w:pPr>
        <w:ind w:left="425" w:hanging="425"/>
      </w:pPr>
      <w:rPr>
        <w:rFonts w:hint="default"/>
      </w:rPr>
    </w:lvl>
  </w:abstractNum>
  <w:abstractNum w:abstractNumId="1">
    <w:nsid w:val="815F6261"/>
    <w:multiLevelType w:val="singleLevel"/>
    <w:tmpl w:val="815F6261"/>
    <w:lvl w:ilvl="0" w:tentative="0">
      <w:start w:val="1"/>
      <w:numFmt w:val="decimal"/>
      <w:lvlText w:val="%1)"/>
      <w:lvlJc w:val="left"/>
      <w:pPr>
        <w:ind w:left="425" w:hanging="425"/>
      </w:pPr>
      <w:rPr>
        <w:rFonts w:hint="default"/>
      </w:rPr>
    </w:lvl>
  </w:abstractNum>
  <w:abstractNum w:abstractNumId="2">
    <w:nsid w:val="89301882"/>
    <w:multiLevelType w:val="singleLevel"/>
    <w:tmpl w:val="89301882"/>
    <w:lvl w:ilvl="0" w:tentative="0">
      <w:start w:val="1"/>
      <w:numFmt w:val="decimal"/>
      <w:lvlText w:val="%1)"/>
      <w:lvlJc w:val="left"/>
      <w:pPr>
        <w:ind w:left="425" w:hanging="425"/>
      </w:pPr>
      <w:rPr>
        <w:rFonts w:hint="default"/>
      </w:rPr>
    </w:lvl>
  </w:abstractNum>
  <w:abstractNum w:abstractNumId="3">
    <w:nsid w:val="89D10BE3"/>
    <w:multiLevelType w:val="singleLevel"/>
    <w:tmpl w:val="89D10BE3"/>
    <w:lvl w:ilvl="0" w:tentative="0">
      <w:start w:val="1"/>
      <w:numFmt w:val="decimalEnclosedCircleChinese"/>
      <w:suff w:val="nothing"/>
      <w:lvlText w:val="%1　"/>
      <w:lvlJc w:val="left"/>
      <w:pPr>
        <w:ind w:left="0" w:firstLine="400"/>
      </w:pPr>
      <w:rPr>
        <w:rFonts w:hint="eastAsia"/>
      </w:rPr>
    </w:lvl>
  </w:abstractNum>
  <w:abstractNum w:abstractNumId="4">
    <w:nsid w:val="8C56EBFC"/>
    <w:multiLevelType w:val="singleLevel"/>
    <w:tmpl w:val="8C56EBFC"/>
    <w:lvl w:ilvl="0" w:tentative="0">
      <w:start w:val="1"/>
      <w:numFmt w:val="lowerLetter"/>
      <w:lvlText w:val="%1."/>
      <w:lvlJc w:val="left"/>
      <w:pPr>
        <w:ind w:left="425" w:hanging="425"/>
      </w:pPr>
      <w:rPr>
        <w:rFonts w:hint="default"/>
      </w:rPr>
    </w:lvl>
  </w:abstractNum>
  <w:abstractNum w:abstractNumId="5">
    <w:nsid w:val="8C615790"/>
    <w:multiLevelType w:val="multilevel"/>
    <w:tmpl w:val="8C615790"/>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8DDE01FC"/>
    <w:multiLevelType w:val="singleLevel"/>
    <w:tmpl w:val="8DDE01FC"/>
    <w:lvl w:ilvl="0" w:tentative="0">
      <w:start w:val="1"/>
      <w:numFmt w:val="decimal"/>
      <w:lvlText w:val="%1)"/>
      <w:lvlJc w:val="left"/>
      <w:pPr>
        <w:ind w:left="425" w:hanging="425"/>
      </w:pPr>
      <w:rPr>
        <w:rFonts w:hint="default"/>
      </w:rPr>
    </w:lvl>
  </w:abstractNum>
  <w:abstractNum w:abstractNumId="7">
    <w:nsid w:val="8DDE8E03"/>
    <w:multiLevelType w:val="singleLevel"/>
    <w:tmpl w:val="8DDE8E03"/>
    <w:lvl w:ilvl="0" w:tentative="0">
      <w:start w:val="1"/>
      <w:numFmt w:val="lowerLetter"/>
      <w:lvlText w:val="%1."/>
      <w:lvlJc w:val="left"/>
      <w:pPr>
        <w:ind w:left="425" w:hanging="425"/>
      </w:pPr>
      <w:rPr>
        <w:rFonts w:hint="default"/>
      </w:rPr>
    </w:lvl>
  </w:abstractNum>
  <w:abstractNum w:abstractNumId="8">
    <w:nsid w:val="90C19AF6"/>
    <w:multiLevelType w:val="multilevel"/>
    <w:tmpl w:val="90C19AF6"/>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91177E08"/>
    <w:multiLevelType w:val="singleLevel"/>
    <w:tmpl w:val="91177E08"/>
    <w:lvl w:ilvl="0" w:tentative="0">
      <w:start w:val="1"/>
      <w:numFmt w:val="decimal"/>
      <w:lvlText w:val="%1."/>
      <w:lvlJc w:val="left"/>
      <w:pPr>
        <w:ind w:left="425" w:hanging="425"/>
      </w:pPr>
      <w:rPr>
        <w:rFonts w:hint="default"/>
      </w:rPr>
    </w:lvl>
  </w:abstractNum>
  <w:abstractNum w:abstractNumId="10">
    <w:nsid w:val="9230C257"/>
    <w:multiLevelType w:val="singleLevel"/>
    <w:tmpl w:val="9230C257"/>
    <w:lvl w:ilvl="0" w:tentative="0">
      <w:start w:val="1"/>
      <w:numFmt w:val="upperLetter"/>
      <w:lvlText w:val="%1."/>
      <w:lvlJc w:val="left"/>
      <w:pPr>
        <w:ind w:left="425" w:hanging="425"/>
      </w:pPr>
      <w:rPr>
        <w:rFonts w:hint="default"/>
      </w:rPr>
    </w:lvl>
  </w:abstractNum>
  <w:abstractNum w:abstractNumId="11">
    <w:nsid w:val="926A303B"/>
    <w:multiLevelType w:val="multilevel"/>
    <w:tmpl w:val="926A303B"/>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2">
    <w:nsid w:val="92E20D02"/>
    <w:multiLevelType w:val="singleLevel"/>
    <w:tmpl w:val="92E20D02"/>
    <w:lvl w:ilvl="0" w:tentative="0">
      <w:start w:val="1"/>
      <w:numFmt w:val="decimalEnclosedCircleChinese"/>
      <w:suff w:val="nothing"/>
      <w:lvlText w:val="%1　"/>
      <w:lvlJc w:val="left"/>
      <w:pPr>
        <w:ind w:left="0" w:firstLine="400"/>
      </w:pPr>
      <w:rPr>
        <w:rFonts w:hint="eastAsia"/>
      </w:rPr>
    </w:lvl>
  </w:abstractNum>
  <w:abstractNum w:abstractNumId="13">
    <w:nsid w:val="95DA5FEF"/>
    <w:multiLevelType w:val="multilevel"/>
    <w:tmpl w:val="95DA5FEF"/>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95E58B52"/>
    <w:multiLevelType w:val="multilevel"/>
    <w:tmpl w:val="95E58B52"/>
    <w:lvl w:ilvl="0" w:tentative="0">
      <w:start w:val="1"/>
      <w:numFmt w:val="decimal"/>
      <w:lvlText w:val="%1、"/>
      <w:lvlJc w:val="left"/>
      <w:pPr>
        <w:tabs>
          <w:tab w:val="left" w:pos="840"/>
        </w:tabs>
        <w:ind w:left="840" w:hanging="360"/>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9909B696"/>
    <w:multiLevelType w:val="singleLevel"/>
    <w:tmpl w:val="9909B696"/>
    <w:lvl w:ilvl="0" w:tentative="0">
      <w:start w:val="1"/>
      <w:numFmt w:val="decimalEnclosedCircleChinese"/>
      <w:suff w:val="nothing"/>
      <w:lvlText w:val="%1　"/>
      <w:lvlJc w:val="left"/>
      <w:pPr>
        <w:ind w:left="0" w:firstLine="400"/>
      </w:pPr>
      <w:rPr>
        <w:rFonts w:hint="eastAsia"/>
      </w:rPr>
    </w:lvl>
  </w:abstractNum>
  <w:abstractNum w:abstractNumId="16">
    <w:nsid w:val="9A526C1D"/>
    <w:multiLevelType w:val="singleLevel"/>
    <w:tmpl w:val="9A526C1D"/>
    <w:lvl w:ilvl="0" w:tentative="0">
      <w:start w:val="1"/>
      <w:numFmt w:val="decimal"/>
      <w:lvlText w:val="%1)"/>
      <w:lvlJc w:val="left"/>
      <w:pPr>
        <w:ind w:left="425" w:hanging="425"/>
      </w:pPr>
      <w:rPr>
        <w:rFonts w:hint="default"/>
      </w:rPr>
    </w:lvl>
  </w:abstractNum>
  <w:abstractNum w:abstractNumId="17">
    <w:nsid w:val="9A82FFE5"/>
    <w:multiLevelType w:val="singleLevel"/>
    <w:tmpl w:val="9A82FFE5"/>
    <w:lvl w:ilvl="0" w:tentative="0">
      <w:start w:val="1"/>
      <w:numFmt w:val="decimal"/>
      <w:lvlText w:val="%1."/>
      <w:lvlJc w:val="left"/>
      <w:pPr>
        <w:ind w:left="425" w:hanging="425"/>
      </w:pPr>
      <w:rPr>
        <w:rFonts w:hint="default"/>
      </w:rPr>
    </w:lvl>
  </w:abstractNum>
  <w:abstractNum w:abstractNumId="18">
    <w:nsid w:val="9FE9D795"/>
    <w:multiLevelType w:val="singleLevel"/>
    <w:tmpl w:val="9FE9D795"/>
    <w:lvl w:ilvl="0" w:tentative="0">
      <w:start w:val="1"/>
      <w:numFmt w:val="upperLetter"/>
      <w:lvlText w:val="%1."/>
      <w:lvlJc w:val="left"/>
      <w:pPr>
        <w:ind w:left="425" w:hanging="425"/>
      </w:pPr>
      <w:rPr>
        <w:rFonts w:hint="default"/>
      </w:rPr>
    </w:lvl>
  </w:abstractNum>
  <w:abstractNum w:abstractNumId="19">
    <w:nsid w:val="A28E4827"/>
    <w:multiLevelType w:val="singleLevel"/>
    <w:tmpl w:val="A28E4827"/>
    <w:lvl w:ilvl="0" w:tentative="0">
      <w:start w:val="1"/>
      <w:numFmt w:val="lowerLetter"/>
      <w:lvlText w:val="%1."/>
      <w:lvlJc w:val="left"/>
      <w:pPr>
        <w:ind w:left="425" w:hanging="425"/>
      </w:pPr>
      <w:rPr>
        <w:rFonts w:hint="default"/>
      </w:rPr>
    </w:lvl>
  </w:abstractNum>
  <w:abstractNum w:abstractNumId="20">
    <w:nsid w:val="A29F4F86"/>
    <w:multiLevelType w:val="singleLevel"/>
    <w:tmpl w:val="A29F4F86"/>
    <w:lvl w:ilvl="0" w:tentative="0">
      <w:start w:val="1"/>
      <w:numFmt w:val="upperLetter"/>
      <w:lvlText w:val="%1."/>
      <w:lvlJc w:val="left"/>
      <w:pPr>
        <w:ind w:left="425" w:hanging="425"/>
      </w:pPr>
      <w:rPr>
        <w:rFonts w:hint="default"/>
      </w:rPr>
    </w:lvl>
  </w:abstractNum>
  <w:abstractNum w:abstractNumId="21">
    <w:nsid w:val="A45E1160"/>
    <w:multiLevelType w:val="singleLevel"/>
    <w:tmpl w:val="A45E1160"/>
    <w:lvl w:ilvl="0" w:tentative="0">
      <w:start w:val="1"/>
      <w:numFmt w:val="upperLetter"/>
      <w:lvlText w:val="%1."/>
      <w:lvlJc w:val="left"/>
      <w:pPr>
        <w:ind w:left="425" w:hanging="425"/>
      </w:pPr>
      <w:rPr>
        <w:rFonts w:hint="default"/>
      </w:rPr>
    </w:lvl>
  </w:abstractNum>
  <w:abstractNum w:abstractNumId="22">
    <w:nsid w:val="A7F63BCA"/>
    <w:multiLevelType w:val="singleLevel"/>
    <w:tmpl w:val="A7F63BCA"/>
    <w:lvl w:ilvl="0" w:tentative="0">
      <w:start w:val="1"/>
      <w:numFmt w:val="decimal"/>
      <w:lvlText w:val="%1."/>
      <w:lvlJc w:val="left"/>
      <w:pPr>
        <w:ind w:left="425" w:hanging="425"/>
      </w:pPr>
      <w:rPr>
        <w:rFonts w:hint="default"/>
      </w:rPr>
    </w:lvl>
  </w:abstractNum>
  <w:abstractNum w:abstractNumId="23">
    <w:nsid w:val="A840BCA5"/>
    <w:multiLevelType w:val="singleLevel"/>
    <w:tmpl w:val="A840BCA5"/>
    <w:lvl w:ilvl="0" w:tentative="0">
      <w:start w:val="1"/>
      <w:numFmt w:val="upperLetter"/>
      <w:lvlText w:val="%1."/>
      <w:lvlJc w:val="left"/>
      <w:pPr>
        <w:ind w:left="425" w:hanging="425"/>
      </w:pPr>
      <w:rPr>
        <w:rFonts w:hint="default"/>
      </w:rPr>
    </w:lvl>
  </w:abstractNum>
  <w:abstractNum w:abstractNumId="24">
    <w:nsid w:val="AA470FAF"/>
    <w:multiLevelType w:val="multilevel"/>
    <w:tmpl w:val="AA470FAF"/>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5">
    <w:nsid w:val="AAA18949"/>
    <w:multiLevelType w:val="multilevel"/>
    <w:tmpl w:val="AAA18949"/>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6">
    <w:nsid w:val="ABF0C83A"/>
    <w:multiLevelType w:val="singleLevel"/>
    <w:tmpl w:val="ABF0C83A"/>
    <w:lvl w:ilvl="0" w:tentative="0">
      <w:start w:val="1"/>
      <w:numFmt w:val="decimal"/>
      <w:suff w:val="space"/>
      <w:lvlText w:val="%1)"/>
      <w:lvlJc w:val="left"/>
    </w:lvl>
  </w:abstractNum>
  <w:abstractNum w:abstractNumId="27">
    <w:nsid w:val="AFC7B71F"/>
    <w:multiLevelType w:val="singleLevel"/>
    <w:tmpl w:val="AFC7B71F"/>
    <w:lvl w:ilvl="0" w:tentative="0">
      <w:start w:val="1"/>
      <w:numFmt w:val="upperLetter"/>
      <w:lvlText w:val="%1."/>
      <w:lvlJc w:val="left"/>
      <w:pPr>
        <w:ind w:left="425" w:hanging="425"/>
      </w:pPr>
      <w:rPr>
        <w:rFonts w:hint="default"/>
      </w:rPr>
    </w:lvl>
  </w:abstractNum>
  <w:abstractNum w:abstractNumId="28">
    <w:nsid w:val="B24378D8"/>
    <w:multiLevelType w:val="multilevel"/>
    <w:tmpl w:val="B24378D8"/>
    <w:lvl w:ilvl="0" w:tentative="0">
      <w:start w:val="1"/>
      <w:numFmt w:val="decimal"/>
      <w:lvlText w:val="%1、"/>
      <w:lvlJc w:val="left"/>
      <w:pPr>
        <w:tabs>
          <w:tab w:val="left" w:pos="840"/>
        </w:tabs>
        <w:ind w:left="840" w:hanging="360"/>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B33F0882"/>
    <w:multiLevelType w:val="singleLevel"/>
    <w:tmpl w:val="B33F0882"/>
    <w:lvl w:ilvl="0" w:tentative="0">
      <w:start w:val="1"/>
      <w:numFmt w:val="upperLetter"/>
      <w:lvlText w:val="%1."/>
      <w:lvlJc w:val="left"/>
      <w:pPr>
        <w:ind w:left="425" w:hanging="425"/>
      </w:pPr>
      <w:rPr>
        <w:rFonts w:hint="default"/>
      </w:rPr>
    </w:lvl>
  </w:abstractNum>
  <w:abstractNum w:abstractNumId="30">
    <w:nsid w:val="B5400212"/>
    <w:multiLevelType w:val="multilevel"/>
    <w:tmpl w:val="B5400212"/>
    <w:lvl w:ilvl="0" w:tentative="0">
      <w:start w:val="1"/>
      <w:numFmt w:val="decimal"/>
      <w:lvlText w:val="（%1）"/>
      <w:lvlJc w:val="left"/>
      <w:pPr>
        <w:tabs>
          <w:tab w:val="left" w:pos="1200"/>
        </w:tabs>
        <w:ind w:left="1200" w:hanging="72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decimal"/>
      <w:lvlText w:val="%3、"/>
      <w:lvlJc w:val="left"/>
      <w:pPr>
        <w:tabs>
          <w:tab w:val="left" w:pos="2040"/>
        </w:tabs>
        <w:ind w:left="2040" w:hanging="720"/>
      </w:pPr>
      <w:rPr>
        <w:rFonts w:hint="eastAsia"/>
      </w:rPr>
    </w:lvl>
    <w:lvl w:ilvl="3" w:tentative="0">
      <w:start w:val="7"/>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B59E2A84"/>
    <w:multiLevelType w:val="singleLevel"/>
    <w:tmpl w:val="B59E2A84"/>
    <w:lvl w:ilvl="0" w:tentative="0">
      <w:start w:val="1"/>
      <w:numFmt w:val="decimal"/>
      <w:lvlText w:val="%1)"/>
      <w:lvlJc w:val="left"/>
      <w:pPr>
        <w:ind w:left="425" w:hanging="425"/>
      </w:pPr>
      <w:rPr>
        <w:rFonts w:hint="default"/>
      </w:rPr>
    </w:lvl>
  </w:abstractNum>
  <w:abstractNum w:abstractNumId="32">
    <w:nsid w:val="B5AB1A24"/>
    <w:multiLevelType w:val="singleLevel"/>
    <w:tmpl w:val="B5AB1A24"/>
    <w:lvl w:ilvl="0" w:tentative="0">
      <w:start w:val="1"/>
      <w:numFmt w:val="decimal"/>
      <w:lvlText w:val="%1."/>
      <w:lvlJc w:val="left"/>
      <w:pPr>
        <w:ind w:left="425" w:hanging="425"/>
      </w:pPr>
      <w:rPr>
        <w:rFonts w:hint="default"/>
      </w:rPr>
    </w:lvl>
  </w:abstractNum>
  <w:abstractNum w:abstractNumId="33">
    <w:nsid w:val="B63993D0"/>
    <w:multiLevelType w:val="singleLevel"/>
    <w:tmpl w:val="B63993D0"/>
    <w:lvl w:ilvl="0" w:tentative="0">
      <w:start w:val="1"/>
      <w:numFmt w:val="decimalEnclosedCircleChinese"/>
      <w:suff w:val="nothing"/>
      <w:lvlText w:val="%1　"/>
      <w:lvlJc w:val="left"/>
      <w:pPr>
        <w:ind w:left="0" w:firstLine="400"/>
      </w:pPr>
      <w:rPr>
        <w:rFonts w:hint="eastAsia"/>
      </w:rPr>
    </w:lvl>
  </w:abstractNum>
  <w:abstractNum w:abstractNumId="34">
    <w:nsid w:val="B7395222"/>
    <w:multiLevelType w:val="multilevel"/>
    <w:tmpl w:val="B7395222"/>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B97C5A90"/>
    <w:multiLevelType w:val="singleLevel"/>
    <w:tmpl w:val="B97C5A90"/>
    <w:lvl w:ilvl="0" w:tentative="0">
      <w:start w:val="1"/>
      <w:numFmt w:val="decimal"/>
      <w:lvlText w:val="%1)"/>
      <w:lvlJc w:val="left"/>
      <w:pPr>
        <w:ind w:left="425" w:hanging="425"/>
      </w:pPr>
      <w:rPr>
        <w:rFonts w:hint="default"/>
      </w:rPr>
    </w:lvl>
  </w:abstractNum>
  <w:abstractNum w:abstractNumId="36">
    <w:nsid w:val="BB825591"/>
    <w:multiLevelType w:val="singleLevel"/>
    <w:tmpl w:val="BB825591"/>
    <w:lvl w:ilvl="0" w:tentative="0">
      <w:start w:val="1"/>
      <w:numFmt w:val="decimal"/>
      <w:lvlText w:val="%1)"/>
      <w:lvlJc w:val="left"/>
      <w:pPr>
        <w:ind w:left="425" w:hanging="425"/>
      </w:pPr>
      <w:rPr>
        <w:rFonts w:hint="default"/>
      </w:rPr>
    </w:lvl>
  </w:abstractNum>
  <w:abstractNum w:abstractNumId="37">
    <w:nsid w:val="BF72AF83"/>
    <w:multiLevelType w:val="singleLevel"/>
    <w:tmpl w:val="BF72AF83"/>
    <w:lvl w:ilvl="0" w:tentative="0">
      <w:start w:val="1"/>
      <w:numFmt w:val="decimal"/>
      <w:lvlText w:val="%1)"/>
      <w:lvlJc w:val="left"/>
      <w:pPr>
        <w:ind w:left="425" w:hanging="425"/>
      </w:pPr>
      <w:rPr>
        <w:rFonts w:hint="default"/>
      </w:rPr>
    </w:lvl>
  </w:abstractNum>
  <w:abstractNum w:abstractNumId="38">
    <w:nsid w:val="BFDAAAAB"/>
    <w:multiLevelType w:val="singleLevel"/>
    <w:tmpl w:val="BFDAAAAB"/>
    <w:lvl w:ilvl="0" w:tentative="0">
      <w:start w:val="1"/>
      <w:numFmt w:val="decimal"/>
      <w:lvlText w:val="%1)"/>
      <w:lvlJc w:val="left"/>
      <w:pPr>
        <w:ind w:left="425" w:hanging="425"/>
      </w:pPr>
      <w:rPr>
        <w:rFonts w:hint="default"/>
      </w:rPr>
    </w:lvl>
  </w:abstractNum>
  <w:abstractNum w:abstractNumId="39">
    <w:nsid w:val="C085F3D0"/>
    <w:multiLevelType w:val="multilevel"/>
    <w:tmpl w:val="C085F3D0"/>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40">
    <w:nsid w:val="C54D5B9B"/>
    <w:multiLevelType w:val="singleLevel"/>
    <w:tmpl w:val="C54D5B9B"/>
    <w:lvl w:ilvl="0" w:tentative="0">
      <w:start w:val="1"/>
      <w:numFmt w:val="decimal"/>
      <w:suff w:val="nothing"/>
      <w:lvlText w:val="%1．"/>
      <w:lvlJc w:val="left"/>
      <w:pPr>
        <w:ind w:left="0" w:firstLine="400"/>
      </w:pPr>
      <w:rPr>
        <w:rFonts w:hint="default"/>
      </w:rPr>
    </w:lvl>
  </w:abstractNum>
  <w:abstractNum w:abstractNumId="41">
    <w:nsid w:val="C61C7C34"/>
    <w:multiLevelType w:val="singleLevel"/>
    <w:tmpl w:val="C61C7C34"/>
    <w:lvl w:ilvl="0" w:tentative="0">
      <w:start w:val="1"/>
      <w:numFmt w:val="decimal"/>
      <w:lvlText w:val="%1."/>
      <w:lvlJc w:val="left"/>
      <w:pPr>
        <w:ind w:left="425" w:hanging="425"/>
      </w:pPr>
      <w:rPr>
        <w:rFonts w:hint="default"/>
      </w:rPr>
    </w:lvl>
  </w:abstractNum>
  <w:abstractNum w:abstractNumId="42">
    <w:nsid w:val="C9DB3383"/>
    <w:multiLevelType w:val="singleLevel"/>
    <w:tmpl w:val="C9DB3383"/>
    <w:lvl w:ilvl="0" w:tentative="0">
      <w:start w:val="1"/>
      <w:numFmt w:val="decimal"/>
      <w:lvlText w:val="%1."/>
      <w:lvlJc w:val="left"/>
      <w:pPr>
        <w:ind w:left="425" w:hanging="425"/>
      </w:pPr>
      <w:rPr>
        <w:rFonts w:hint="default"/>
      </w:rPr>
    </w:lvl>
  </w:abstractNum>
  <w:abstractNum w:abstractNumId="43">
    <w:nsid w:val="CA74C422"/>
    <w:multiLevelType w:val="multilevel"/>
    <w:tmpl w:val="CA74C422"/>
    <w:lvl w:ilvl="0" w:tentative="0">
      <w:start w:val="1"/>
      <w:numFmt w:val="decimal"/>
      <w:lvlText w:val="%1、"/>
      <w:lvlJc w:val="left"/>
      <w:pPr>
        <w:tabs>
          <w:tab w:val="left" w:pos="840"/>
        </w:tabs>
        <w:ind w:left="840" w:hanging="360"/>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4">
    <w:nsid w:val="CAD08E10"/>
    <w:multiLevelType w:val="multilevel"/>
    <w:tmpl w:val="CAD08E10"/>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5">
    <w:nsid w:val="CC24135C"/>
    <w:multiLevelType w:val="multilevel"/>
    <w:tmpl w:val="CC24135C"/>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6">
    <w:nsid w:val="CEF91959"/>
    <w:multiLevelType w:val="singleLevel"/>
    <w:tmpl w:val="CEF91959"/>
    <w:lvl w:ilvl="0" w:tentative="0">
      <w:start w:val="1"/>
      <w:numFmt w:val="lowerLetter"/>
      <w:lvlText w:val="%1."/>
      <w:lvlJc w:val="left"/>
      <w:pPr>
        <w:ind w:left="425" w:hanging="425"/>
      </w:pPr>
      <w:rPr>
        <w:rFonts w:hint="default"/>
      </w:rPr>
    </w:lvl>
  </w:abstractNum>
  <w:abstractNum w:abstractNumId="47">
    <w:nsid w:val="D3D2CFEB"/>
    <w:multiLevelType w:val="multilevel"/>
    <w:tmpl w:val="D3D2CFEB"/>
    <w:lvl w:ilvl="0" w:tentative="0">
      <w:start w:val="1"/>
      <w:numFmt w:val="decimal"/>
      <w:lvlText w:val="（%1）"/>
      <w:lvlJc w:val="left"/>
      <w:pPr>
        <w:tabs>
          <w:tab w:val="left" w:pos="1200"/>
        </w:tabs>
        <w:ind w:left="1200" w:hanging="72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decimal"/>
      <w:lvlText w:val="%3、"/>
      <w:lvlJc w:val="left"/>
      <w:pPr>
        <w:tabs>
          <w:tab w:val="left" w:pos="2040"/>
        </w:tabs>
        <w:ind w:left="2040" w:hanging="720"/>
      </w:pPr>
      <w:rPr>
        <w:rFonts w:hint="eastAsia"/>
      </w:rPr>
    </w:lvl>
    <w:lvl w:ilvl="3" w:tentative="0">
      <w:start w:val="7"/>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8">
    <w:nsid w:val="D54CA0CB"/>
    <w:multiLevelType w:val="singleLevel"/>
    <w:tmpl w:val="D54CA0CB"/>
    <w:lvl w:ilvl="0" w:tentative="0">
      <w:start w:val="1"/>
      <w:numFmt w:val="decimal"/>
      <w:lvlText w:val="%1)"/>
      <w:lvlJc w:val="left"/>
      <w:pPr>
        <w:ind w:left="425" w:hanging="425"/>
      </w:pPr>
      <w:rPr>
        <w:rFonts w:hint="default"/>
      </w:rPr>
    </w:lvl>
  </w:abstractNum>
  <w:abstractNum w:abstractNumId="49">
    <w:nsid w:val="D8F6CBE9"/>
    <w:multiLevelType w:val="singleLevel"/>
    <w:tmpl w:val="D8F6CBE9"/>
    <w:lvl w:ilvl="0" w:tentative="0">
      <w:start w:val="1"/>
      <w:numFmt w:val="decimal"/>
      <w:lvlText w:val="%1."/>
      <w:lvlJc w:val="left"/>
      <w:pPr>
        <w:ind w:left="425" w:hanging="425"/>
      </w:pPr>
      <w:rPr>
        <w:rFonts w:hint="default"/>
      </w:rPr>
    </w:lvl>
  </w:abstractNum>
  <w:abstractNum w:abstractNumId="50">
    <w:nsid w:val="E31037D0"/>
    <w:multiLevelType w:val="singleLevel"/>
    <w:tmpl w:val="E31037D0"/>
    <w:lvl w:ilvl="0" w:tentative="0">
      <w:start w:val="1"/>
      <w:numFmt w:val="upperLetter"/>
      <w:lvlText w:val="%1."/>
      <w:lvlJc w:val="left"/>
      <w:pPr>
        <w:ind w:left="425" w:hanging="425"/>
      </w:pPr>
      <w:rPr>
        <w:rFonts w:hint="default"/>
      </w:rPr>
    </w:lvl>
  </w:abstractNum>
  <w:abstractNum w:abstractNumId="51">
    <w:nsid w:val="E6B0527C"/>
    <w:multiLevelType w:val="multilevel"/>
    <w:tmpl w:val="E6B0527C"/>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2">
    <w:nsid w:val="E74EDD29"/>
    <w:multiLevelType w:val="singleLevel"/>
    <w:tmpl w:val="E74EDD29"/>
    <w:lvl w:ilvl="0" w:tentative="0">
      <w:start w:val="1"/>
      <w:numFmt w:val="decimalEnclosedCircleChinese"/>
      <w:suff w:val="nothing"/>
      <w:lvlText w:val="%1　"/>
      <w:lvlJc w:val="left"/>
      <w:pPr>
        <w:ind w:left="0" w:firstLine="400"/>
      </w:pPr>
      <w:rPr>
        <w:rFonts w:hint="eastAsia"/>
      </w:rPr>
    </w:lvl>
  </w:abstractNum>
  <w:abstractNum w:abstractNumId="53">
    <w:nsid w:val="E81E3CB0"/>
    <w:multiLevelType w:val="singleLevel"/>
    <w:tmpl w:val="E81E3CB0"/>
    <w:lvl w:ilvl="0" w:tentative="0">
      <w:start w:val="1"/>
      <w:numFmt w:val="decimalEnclosedCircleChinese"/>
      <w:suff w:val="nothing"/>
      <w:lvlText w:val="%1　"/>
      <w:lvlJc w:val="left"/>
      <w:pPr>
        <w:ind w:left="0" w:firstLine="400"/>
      </w:pPr>
      <w:rPr>
        <w:rFonts w:hint="eastAsia"/>
      </w:rPr>
    </w:lvl>
  </w:abstractNum>
  <w:abstractNum w:abstractNumId="54">
    <w:nsid w:val="E834E15C"/>
    <w:multiLevelType w:val="multilevel"/>
    <w:tmpl w:val="E834E15C"/>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5">
    <w:nsid w:val="EC56F6DD"/>
    <w:multiLevelType w:val="singleLevel"/>
    <w:tmpl w:val="EC56F6DD"/>
    <w:lvl w:ilvl="0" w:tentative="0">
      <w:start w:val="1"/>
      <w:numFmt w:val="decimal"/>
      <w:lvlText w:val="%1)"/>
      <w:lvlJc w:val="left"/>
      <w:pPr>
        <w:ind w:left="425" w:hanging="425"/>
      </w:pPr>
      <w:rPr>
        <w:rFonts w:hint="default"/>
      </w:rPr>
    </w:lvl>
  </w:abstractNum>
  <w:abstractNum w:abstractNumId="56">
    <w:nsid w:val="EC63311E"/>
    <w:multiLevelType w:val="multilevel"/>
    <w:tmpl w:val="EC63311E"/>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7">
    <w:nsid w:val="EC89B057"/>
    <w:multiLevelType w:val="singleLevel"/>
    <w:tmpl w:val="EC89B057"/>
    <w:lvl w:ilvl="0" w:tentative="0">
      <w:start w:val="1"/>
      <w:numFmt w:val="decimalEnclosedCircleChinese"/>
      <w:suff w:val="nothing"/>
      <w:lvlText w:val="%1　"/>
      <w:lvlJc w:val="left"/>
      <w:pPr>
        <w:ind w:left="0" w:firstLine="400"/>
      </w:pPr>
      <w:rPr>
        <w:rFonts w:hint="eastAsia"/>
      </w:rPr>
    </w:lvl>
  </w:abstractNum>
  <w:abstractNum w:abstractNumId="58">
    <w:nsid w:val="EE81C071"/>
    <w:multiLevelType w:val="multilevel"/>
    <w:tmpl w:val="EE81C071"/>
    <w:lvl w:ilvl="0" w:tentative="0">
      <w:start w:val="1"/>
      <w:numFmt w:val="decimal"/>
      <w:lvlText w:val="（%1）"/>
      <w:lvlJc w:val="left"/>
      <w:pPr>
        <w:tabs>
          <w:tab w:val="left" w:pos="1200"/>
        </w:tabs>
        <w:ind w:left="1200" w:hanging="72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decimal"/>
      <w:lvlText w:val="%3、"/>
      <w:lvlJc w:val="left"/>
      <w:pPr>
        <w:tabs>
          <w:tab w:val="left" w:pos="2040"/>
        </w:tabs>
        <w:ind w:left="2040" w:hanging="720"/>
      </w:pPr>
      <w:rPr>
        <w:rFonts w:hint="eastAsia"/>
      </w:rPr>
    </w:lvl>
    <w:lvl w:ilvl="3" w:tentative="0">
      <w:start w:val="7"/>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9">
    <w:nsid w:val="EFA56762"/>
    <w:multiLevelType w:val="singleLevel"/>
    <w:tmpl w:val="EFA56762"/>
    <w:lvl w:ilvl="0" w:tentative="0">
      <w:start w:val="1"/>
      <w:numFmt w:val="upperLetter"/>
      <w:lvlText w:val="%1."/>
      <w:lvlJc w:val="left"/>
      <w:pPr>
        <w:ind w:left="425" w:hanging="425"/>
      </w:pPr>
      <w:rPr>
        <w:rFonts w:hint="default"/>
      </w:rPr>
    </w:lvl>
  </w:abstractNum>
  <w:abstractNum w:abstractNumId="60">
    <w:nsid w:val="F081DDB2"/>
    <w:multiLevelType w:val="multilevel"/>
    <w:tmpl w:val="F081DDB2"/>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1">
    <w:nsid w:val="F282E35A"/>
    <w:multiLevelType w:val="singleLevel"/>
    <w:tmpl w:val="F282E35A"/>
    <w:lvl w:ilvl="0" w:tentative="0">
      <w:start w:val="1"/>
      <w:numFmt w:val="decimalEnclosedCircleChinese"/>
      <w:suff w:val="nothing"/>
      <w:lvlText w:val="%1　"/>
      <w:lvlJc w:val="left"/>
      <w:pPr>
        <w:ind w:left="0" w:firstLine="400"/>
      </w:pPr>
      <w:rPr>
        <w:rFonts w:hint="eastAsia"/>
      </w:rPr>
    </w:lvl>
  </w:abstractNum>
  <w:abstractNum w:abstractNumId="62">
    <w:nsid w:val="F768C565"/>
    <w:multiLevelType w:val="singleLevel"/>
    <w:tmpl w:val="F768C565"/>
    <w:lvl w:ilvl="0" w:tentative="0">
      <w:start w:val="1"/>
      <w:numFmt w:val="decimal"/>
      <w:lvlText w:val="%1)"/>
      <w:lvlJc w:val="left"/>
      <w:pPr>
        <w:ind w:left="425" w:hanging="425"/>
      </w:pPr>
      <w:rPr>
        <w:rFonts w:hint="default"/>
      </w:rPr>
    </w:lvl>
  </w:abstractNum>
  <w:abstractNum w:abstractNumId="63">
    <w:nsid w:val="F788A5F7"/>
    <w:multiLevelType w:val="multilevel"/>
    <w:tmpl w:val="F788A5F7"/>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4">
    <w:nsid w:val="F7E9C86E"/>
    <w:multiLevelType w:val="singleLevel"/>
    <w:tmpl w:val="F7E9C86E"/>
    <w:lvl w:ilvl="0" w:tentative="0">
      <w:start w:val="1"/>
      <w:numFmt w:val="lowerLetter"/>
      <w:lvlText w:val="%1."/>
      <w:lvlJc w:val="left"/>
      <w:pPr>
        <w:ind w:left="425" w:hanging="425"/>
      </w:pPr>
      <w:rPr>
        <w:rFonts w:hint="default"/>
      </w:rPr>
    </w:lvl>
  </w:abstractNum>
  <w:abstractNum w:abstractNumId="65">
    <w:nsid w:val="F8334B22"/>
    <w:multiLevelType w:val="singleLevel"/>
    <w:tmpl w:val="F8334B22"/>
    <w:lvl w:ilvl="0" w:tentative="0">
      <w:start w:val="1"/>
      <w:numFmt w:val="lowerLetter"/>
      <w:lvlText w:val="%1."/>
      <w:lvlJc w:val="left"/>
      <w:pPr>
        <w:ind w:left="425" w:hanging="425"/>
      </w:pPr>
      <w:rPr>
        <w:rFonts w:hint="default"/>
      </w:rPr>
    </w:lvl>
  </w:abstractNum>
  <w:abstractNum w:abstractNumId="66">
    <w:nsid w:val="FA3C7FA4"/>
    <w:multiLevelType w:val="singleLevel"/>
    <w:tmpl w:val="FA3C7FA4"/>
    <w:lvl w:ilvl="0" w:tentative="0">
      <w:start w:val="1"/>
      <w:numFmt w:val="bullet"/>
      <w:lvlText w:val=""/>
      <w:lvlJc w:val="left"/>
      <w:pPr>
        <w:ind w:left="420" w:hanging="420"/>
      </w:pPr>
      <w:rPr>
        <w:rFonts w:hint="default" w:ascii="Wingdings" w:hAnsi="Wingdings"/>
      </w:rPr>
    </w:lvl>
  </w:abstractNum>
  <w:abstractNum w:abstractNumId="67">
    <w:nsid w:val="FF87B3FF"/>
    <w:multiLevelType w:val="singleLevel"/>
    <w:tmpl w:val="FF87B3FF"/>
    <w:lvl w:ilvl="0" w:tentative="0">
      <w:start w:val="1"/>
      <w:numFmt w:val="decimal"/>
      <w:lvlText w:val="%1)"/>
      <w:lvlJc w:val="left"/>
      <w:pPr>
        <w:ind w:left="425" w:hanging="425"/>
      </w:pPr>
      <w:rPr>
        <w:rFonts w:hint="default"/>
      </w:rPr>
    </w:lvl>
  </w:abstractNum>
  <w:abstractNum w:abstractNumId="68">
    <w:nsid w:val="00FA2A64"/>
    <w:multiLevelType w:val="multilevel"/>
    <w:tmpl w:val="00FA2A64"/>
    <w:lvl w:ilvl="0" w:tentative="0">
      <w:start w:val="1"/>
      <w:numFmt w:val="bullet"/>
      <w:lvlText w:val=""/>
      <w:lvlJc w:val="left"/>
      <w:pPr>
        <w:ind w:left="860" w:hanging="420"/>
      </w:pPr>
      <w:rPr>
        <w:rFonts w:hint="default" w:ascii="Wingdings" w:hAnsi="Wingdings"/>
      </w:rPr>
    </w:lvl>
    <w:lvl w:ilvl="1" w:tentative="0">
      <w:start w:val="1"/>
      <w:numFmt w:val="bullet"/>
      <w:lvlText w:val=""/>
      <w:lvlJc w:val="left"/>
      <w:pPr>
        <w:ind w:left="1280" w:hanging="420"/>
      </w:pPr>
      <w:rPr>
        <w:rFonts w:hint="default" w:ascii="Wingdings" w:hAnsi="Wingdings"/>
      </w:rPr>
    </w:lvl>
    <w:lvl w:ilvl="2" w:tentative="0">
      <w:start w:val="1"/>
      <w:numFmt w:val="bullet"/>
      <w:lvlText w:val=""/>
      <w:lvlJc w:val="left"/>
      <w:pPr>
        <w:ind w:left="1700" w:hanging="420"/>
      </w:pPr>
      <w:rPr>
        <w:rFonts w:hint="default" w:ascii="Wingdings" w:hAnsi="Wingdings"/>
      </w:rPr>
    </w:lvl>
    <w:lvl w:ilvl="3" w:tentative="0">
      <w:start w:val="1"/>
      <w:numFmt w:val="bullet"/>
      <w:lvlText w:val=""/>
      <w:lvlJc w:val="left"/>
      <w:pPr>
        <w:ind w:left="2120" w:hanging="420"/>
      </w:pPr>
      <w:rPr>
        <w:rFonts w:hint="default" w:ascii="Wingdings" w:hAnsi="Wingdings"/>
      </w:rPr>
    </w:lvl>
    <w:lvl w:ilvl="4" w:tentative="0">
      <w:start w:val="1"/>
      <w:numFmt w:val="bullet"/>
      <w:lvlText w:val=""/>
      <w:lvlJc w:val="left"/>
      <w:pPr>
        <w:ind w:left="2540" w:hanging="420"/>
      </w:pPr>
      <w:rPr>
        <w:rFonts w:hint="default" w:ascii="Wingdings" w:hAnsi="Wingdings"/>
      </w:rPr>
    </w:lvl>
    <w:lvl w:ilvl="5" w:tentative="0">
      <w:start w:val="1"/>
      <w:numFmt w:val="bullet"/>
      <w:lvlText w:val=""/>
      <w:lvlJc w:val="left"/>
      <w:pPr>
        <w:ind w:left="2960" w:hanging="420"/>
      </w:pPr>
      <w:rPr>
        <w:rFonts w:hint="default" w:ascii="Wingdings" w:hAnsi="Wingdings"/>
      </w:rPr>
    </w:lvl>
    <w:lvl w:ilvl="6" w:tentative="0">
      <w:start w:val="1"/>
      <w:numFmt w:val="bullet"/>
      <w:lvlText w:val=""/>
      <w:lvlJc w:val="left"/>
      <w:pPr>
        <w:ind w:left="3380" w:hanging="420"/>
      </w:pPr>
      <w:rPr>
        <w:rFonts w:hint="default" w:ascii="Wingdings" w:hAnsi="Wingdings"/>
      </w:rPr>
    </w:lvl>
    <w:lvl w:ilvl="7" w:tentative="0">
      <w:start w:val="1"/>
      <w:numFmt w:val="bullet"/>
      <w:lvlText w:val=""/>
      <w:lvlJc w:val="left"/>
      <w:pPr>
        <w:ind w:left="3800" w:hanging="420"/>
      </w:pPr>
      <w:rPr>
        <w:rFonts w:hint="default" w:ascii="Wingdings" w:hAnsi="Wingdings"/>
      </w:rPr>
    </w:lvl>
    <w:lvl w:ilvl="8" w:tentative="0">
      <w:start w:val="1"/>
      <w:numFmt w:val="bullet"/>
      <w:lvlText w:val=""/>
      <w:lvlJc w:val="left"/>
      <w:pPr>
        <w:ind w:left="4220" w:hanging="420"/>
      </w:pPr>
      <w:rPr>
        <w:rFonts w:hint="default" w:ascii="Wingdings" w:hAnsi="Wingdings"/>
      </w:rPr>
    </w:lvl>
  </w:abstractNum>
  <w:abstractNum w:abstractNumId="69">
    <w:nsid w:val="0338F74B"/>
    <w:multiLevelType w:val="singleLevel"/>
    <w:tmpl w:val="0338F74B"/>
    <w:lvl w:ilvl="0" w:tentative="0">
      <w:start w:val="1"/>
      <w:numFmt w:val="decimal"/>
      <w:lvlText w:val="%1)"/>
      <w:lvlJc w:val="left"/>
      <w:pPr>
        <w:ind w:left="425" w:hanging="425"/>
      </w:pPr>
      <w:rPr>
        <w:rFonts w:hint="default"/>
      </w:rPr>
    </w:lvl>
  </w:abstractNum>
  <w:abstractNum w:abstractNumId="70">
    <w:nsid w:val="038250D3"/>
    <w:multiLevelType w:val="multilevel"/>
    <w:tmpl w:val="038250D3"/>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71">
    <w:nsid w:val="041248F8"/>
    <w:multiLevelType w:val="singleLevel"/>
    <w:tmpl w:val="041248F8"/>
    <w:lvl w:ilvl="0" w:tentative="0">
      <w:start w:val="1"/>
      <w:numFmt w:val="upperLetter"/>
      <w:lvlText w:val="%1."/>
      <w:lvlJc w:val="left"/>
      <w:pPr>
        <w:ind w:left="425" w:hanging="425"/>
      </w:pPr>
      <w:rPr>
        <w:rFonts w:hint="default"/>
      </w:rPr>
    </w:lvl>
  </w:abstractNum>
  <w:abstractNum w:abstractNumId="72">
    <w:nsid w:val="060C68F4"/>
    <w:multiLevelType w:val="singleLevel"/>
    <w:tmpl w:val="060C68F4"/>
    <w:lvl w:ilvl="0" w:tentative="0">
      <w:start w:val="1"/>
      <w:numFmt w:val="upperLetter"/>
      <w:lvlText w:val="%1."/>
      <w:lvlJc w:val="left"/>
      <w:pPr>
        <w:ind w:left="425" w:hanging="425"/>
      </w:pPr>
      <w:rPr>
        <w:rFonts w:hint="default"/>
      </w:rPr>
    </w:lvl>
  </w:abstractNum>
  <w:abstractNum w:abstractNumId="73">
    <w:nsid w:val="06F2214B"/>
    <w:multiLevelType w:val="multilevel"/>
    <w:tmpl w:val="06F2214B"/>
    <w:lvl w:ilvl="0" w:tentative="0">
      <w:start w:val="1"/>
      <w:numFmt w:val="decimal"/>
      <w:pStyle w:val="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4">
    <w:nsid w:val="074668AB"/>
    <w:multiLevelType w:val="multilevel"/>
    <w:tmpl w:val="074668AB"/>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5">
    <w:nsid w:val="093B408D"/>
    <w:multiLevelType w:val="multilevel"/>
    <w:tmpl w:val="093B408D"/>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76">
    <w:nsid w:val="0A5702E6"/>
    <w:multiLevelType w:val="singleLevel"/>
    <w:tmpl w:val="0A5702E6"/>
    <w:lvl w:ilvl="0" w:tentative="0">
      <w:start w:val="1"/>
      <w:numFmt w:val="lowerLetter"/>
      <w:lvlText w:val="%1."/>
      <w:lvlJc w:val="left"/>
      <w:pPr>
        <w:ind w:left="425" w:hanging="425"/>
      </w:pPr>
      <w:rPr>
        <w:rFonts w:hint="default"/>
      </w:rPr>
    </w:lvl>
  </w:abstractNum>
  <w:abstractNum w:abstractNumId="77">
    <w:nsid w:val="0A8D47EB"/>
    <w:multiLevelType w:val="singleLevel"/>
    <w:tmpl w:val="0A8D47EB"/>
    <w:lvl w:ilvl="0" w:tentative="0">
      <w:start w:val="1"/>
      <w:numFmt w:val="upperLetter"/>
      <w:lvlText w:val="%1."/>
      <w:lvlJc w:val="left"/>
      <w:pPr>
        <w:ind w:left="425" w:hanging="425"/>
      </w:pPr>
      <w:rPr>
        <w:rFonts w:hint="default"/>
      </w:rPr>
    </w:lvl>
  </w:abstractNum>
  <w:abstractNum w:abstractNumId="78">
    <w:nsid w:val="0AD3A359"/>
    <w:multiLevelType w:val="singleLevel"/>
    <w:tmpl w:val="0AD3A359"/>
    <w:lvl w:ilvl="0" w:tentative="0">
      <w:start w:val="1"/>
      <w:numFmt w:val="decimal"/>
      <w:lvlText w:val="%1)"/>
      <w:lvlJc w:val="left"/>
      <w:pPr>
        <w:ind w:left="425" w:hanging="425"/>
      </w:pPr>
      <w:rPr>
        <w:rFonts w:hint="default"/>
      </w:rPr>
    </w:lvl>
  </w:abstractNum>
  <w:abstractNum w:abstractNumId="79">
    <w:nsid w:val="0E5AA6D0"/>
    <w:multiLevelType w:val="singleLevel"/>
    <w:tmpl w:val="0E5AA6D0"/>
    <w:lvl w:ilvl="0" w:tentative="0">
      <w:start w:val="1"/>
      <w:numFmt w:val="decimal"/>
      <w:lvlText w:val="%1)"/>
      <w:lvlJc w:val="left"/>
      <w:pPr>
        <w:ind w:left="425" w:hanging="425"/>
      </w:pPr>
      <w:rPr>
        <w:rFonts w:hint="default"/>
      </w:rPr>
    </w:lvl>
  </w:abstractNum>
  <w:abstractNum w:abstractNumId="80">
    <w:nsid w:val="12601A50"/>
    <w:multiLevelType w:val="multilevel"/>
    <w:tmpl w:val="12601A50"/>
    <w:lvl w:ilvl="0" w:tentative="0">
      <w:start w:val="1"/>
      <w:numFmt w:val="decimal"/>
      <w:lvlText w:val="%1"/>
      <w:lvlJc w:val="left"/>
      <w:pPr>
        <w:tabs>
          <w:tab w:val="left" w:pos="540"/>
        </w:tabs>
        <w:ind w:left="540" w:hanging="540"/>
      </w:pPr>
      <w:rPr>
        <w:rFonts w:hint="default"/>
      </w:rPr>
    </w:lvl>
    <w:lvl w:ilvl="1" w:tentative="0">
      <w:start w:val="1"/>
      <w:numFmt w:val="decimal"/>
      <w:lvlText w:val="3.%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81">
    <w:nsid w:val="16A79143"/>
    <w:multiLevelType w:val="singleLevel"/>
    <w:tmpl w:val="16A79143"/>
    <w:lvl w:ilvl="0" w:tentative="0">
      <w:start w:val="1"/>
      <w:numFmt w:val="decimal"/>
      <w:suff w:val="space"/>
      <w:lvlText w:val="%1)"/>
      <w:lvlJc w:val="left"/>
    </w:lvl>
  </w:abstractNum>
  <w:abstractNum w:abstractNumId="82">
    <w:nsid w:val="16F12D50"/>
    <w:multiLevelType w:val="multilevel"/>
    <w:tmpl w:val="16F12D50"/>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3">
    <w:nsid w:val="1753129B"/>
    <w:multiLevelType w:val="multilevel"/>
    <w:tmpl w:val="1753129B"/>
    <w:lvl w:ilvl="0" w:tentative="0">
      <w:start w:val="1"/>
      <w:numFmt w:val="decimal"/>
      <w:lvlText w:val="%1）"/>
      <w:lvlJc w:val="left"/>
      <w:pPr>
        <w:tabs>
          <w:tab w:val="left" w:pos="900"/>
        </w:tabs>
        <w:ind w:left="900" w:hanging="42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decimal"/>
      <w:lvlText w:val="（%3）"/>
      <w:lvlJc w:val="left"/>
      <w:pPr>
        <w:tabs>
          <w:tab w:val="left" w:pos="2040"/>
        </w:tabs>
        <w:ind w:left="2040" w:hanging="720"/>
      </w:pPr>
      <w:rPr>
        <w:rFonts w:hint="eastAsia"/>
      </w:rPr>
    </w:lvl>
    <w:lvl w:ilvl="3" w:tentative="0">
      <w:start w:val="8"/>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84">
    <w:nsid w:val="19AE63A2"/>
    <w:multiLevelType w:val="multilevel"/>
    <w:tmpl w:val="19AE63A2"/>
    <w:lvl w:ilvl="0" w:tentative="0">
      <w:start w:val="1"/>
      <w:numFmt w:val="chineseCountingThousand"/>
      <w:lvlText w:val="第%1章"/>
      <w:lvlJc w:val="left"/>
      <w:pPr>
        <w:tabs>
          <w:tab w:val="left" w:pos="2175"/>
        </w:tabs>
        <w:ind w:left="2175" w:hanging="1755"/>
      </w:pPr>
      <w:rPr>
        <w:rFonts w:hint="default"/>
      </w:rPr>
    </w:lvl>
    <w:lvl w:ilvl="1" w:tentative="0">
      <w:start w:val="1"/>
      <w:numFmt w:val="chineseCountingThousand"/>
      <w:lvlText w:val="第%2节"/>
      <w:lvlJc w:val="left"/>
      <w:pPr>
        <w:tabs>
          <w:tab w:val="left" w:pos="1965"/>
        </w:tabs>
        <w:ind w:left="1965" w:hanging="1545"/>
      </w:pPr>
      <w:rPr>
        <w:rFonts w:hint="default"/>
      </w:rPr>
    </w:lvl>
    <w:lvl w:ilvl="2" w:tentative="0">
      <w:start w:val="1"/>
      <w:numFmt w:val="japaneseCounting"/>
      <w:lvlText w:val="第%3节"/>
      <w:lvlJc w:val="left"/>
      <w:pPr>
        <w:tabs>
          <w:tab w:val="left" w:pos="1965"/>
        </w:tabs>
        <w:ind w:left="1965" w:hanging="1125"/>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5">
    <w:nsid w:val="1A2E9A04"/>
    <w:multiLevelType w:val="singleLevel"/>
    <w:tmpl w:val="1A2E9A04"/>
    <w:lvl w:ilvl="0" w:tentative="0">
      <w:start w:val="1"/>
      <w:numFmt w:val="decimal"/>
      <w:lvlText w:val="%1)"/>
      <w:lvlJc w:val="left"/>
      <w:pPr>
        <w:ind w:left="425" w:hanging="425"/>
      </w:pPr>
      <w:rPr>
        <w:rFonts w:hint="default"/>
      </w:rPr>
    </w:lvl>
  </w:abstractNum>
  <w:abstractNum w:abstractNumId="86">
    <w:nsid w:val="1BD4BECD"/>
    <w:multiLevelType w:val="singleLevel"/>
    <w:tmpl w:val="1BD4BECD"/>
    <w:lvl w:ilvl="0" w:tentative="0">
      <w:start w:val="1"/>
      <w:numFmt w:val="upperLetter"/>
      <w:lvlText w:val="%1."/>
      <w:lvlJc w:val="left"/>
      <w:pPr>
        <w:ind w:left="425" w:hanging="425"/>
      </w:pPr>
      <w:rPr>
        <w:rFonts w:hint="default"/>
      </w:rPr>
    </w:lvl>
  </w:abstractNum>
  <w:abstractNum w:abstractNumId="87">
    <w:nsid w:val="1D0465AF"/>
    <w:multiLevelType w:val="multilevel"/>
    <w:tmpl w:val="1D0465AF"/>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8">
    <w:nsid w:val="1F4FDCB7"/>
    <w:multiLevelType w:val="multilevel"/>
    <w:tmpl w:val="1F4FDCB7"/>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9">
    <w:nsid w:val="200F9866"/>
    <w:multiLevelType w:val="singleLevel"/>
    <w:tmpl w:val="200F9866"/>
    <w:lvl w:ilvl="0" w:tentative="0">
      <w:start w:val="1"/>
      <w:numFmt w:val="decimal"/>
      <w:suff w:val="space"/>
      <w:lvlText w:val="%1)"/>
      <w:lvlJc w:val="left"/>
    </w:lvl>
  </w:abstractNum>
  <w:abstractNum w:abstractNumId="90">
    <w:nsid w:val="202B4357"/>
    <w:multiLevelType w:val="multilevel"/>
    <w:tmpl w:val="202B4357"/>
    <w:lvl w:ilvl="0" w:tentative="0">
      <w:start w:val="1"/>
      <w:numFmt w:val="decimal"/>
      <w:lvlText w:val="2.%1"/>
      <w:lvlJc w:val="left"/>
      <w:pPr>
        <w:tabs>
          <w:tab w:val="left" w:pos="851"/>
        </w:tabs>
        <w:ind w:left="851" w:hanging="851"/>
      </w:pPr>
      <w:rPr>
        <w:rFonts w:hint="default"/>
      </w:rPr>
    </w:lvl>
    <w:lvl w:ilvl="1" w:tentative="0">
      <w:start w:val="1"/>
      <w:numFmt w:val="decimal"/>
      <w:lvlText w:val="2.%2"/>
      <w:lvlJc w:val="left"/>
      <w:pPr>
        <w:tabs>
          <w:tab w:val="left" w:pos="1271"/>
        </w:tabs>
        <w:ind w:left="1271" w:hanging="851"/>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1">
    <w:nsid w:val="2264184B"/>
    <w:multiLevelType w:val="multilevel"/>
    <w:tmpl w:val="2264184B"/>
    <w:lvl w:ilvl="0" w:tentative="0">
      <w:start w:val="9"/>
      <w:numFmt w:val="decimal"/>
      <w:lvlText w:val="5-%1"/>
      <w:lvlJc w:val="left"/>
      <w:pPr>
        <w:tabs>
          <w:tab w:val="left" w:pos="780"/>
        </w:tabs>
        <w:ind w:left="780" w:hanging="780"/>
      </w:pPr>
      <w:rPr>
        <w:rFonts w:hint="default"/>
      </w:rPr>
    </w:lvl>
    <w:lvl w:ilvl="1" w:tentative="0">
      <w:start w:val="1"/>
      <w:numFmt w:val="decimal"/>
      <w:lvlText w:val="5-%2"/>
      <w:lvlJc w:val="left"/>
      <w:pPr>
        <w:tabs>
          <w:tab w:val="left" w:pos="780"/>
        </w:tabs>
        <w:ind w:left="780" w:hanging="780"/>
      </w:pPr>
      <w:rPr>
        <w:rFonts w:hint="default"/>
      </w:rPr>
    </w:lvl>
    <w:lvl w:ilvl="2" w:tentative="0">
      <w:start w:val="1"/>
      <w:numFmt w:val="decimal"/>
      <w:lvlText w:val="2-2.%3"/>
      <w:lvlJc w:val="left"/>
      <w:pPr>
        <w:tabs>
          <w:tab w:val="left" w:pos="780"/>
        </w:tabs>
        <w:ind w:left="780" w:hanging="780"/>
      </w:pPr>
      <w:rPr>
        <w:rFonts w:hint="default"/>
      </w:rPr>
    </w:lvl>
    <w:lvl w:ilvl="3" w:tentative="0">
      <w:start w:val="1"/>
      <w:numFmt w:val="decimal"/>
      <w:lvlText w:val="2.3.%4"/>
      <w:lvlJc w:val="left"/>
      <w:pPr>
        <w:tabs>
          <w:tab w:val="left" w:pos="780"/>
        </w:tabs>
        <w:ind w:left="780" w:hanging="7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92">
    <w:nsid w:val="23698CBD"/>
    <w:multiLevelType w:val="singleLevel"/>
    <w:tmpl w:val="23698CBD"/>
    <w:lvl w:ilvl="0" w:tentative="0">
      <w:start w:val="1"/>
      <w:numFmt w:val="decimal"/>
      <w:lvlText w:val="%1)"/>
      <w:lvlJc w:val="left"/>
      <w:pPr>
        <w:ind w:left="425" w:hanging="425"/>
      </w:pPr>
      <w:rPr>
        <w:rFonts w:hint="default"/>
      </w:rPr>
    </w:lvl>
  </w:abstractNum>
  <w:abstractNum w:abstractNumId="93">
    <w:nsid w:val="238268B2"/>
    <w:multiLevelType w:val="multilevel"/>
    <w:tmpl w:val="238268B2"/>
    <w:lvl w:ilvl="0" w:tentative="0">
      <w:start w:val="1"/>
      <w:numFmt w:val="decimal"/>
      <w:lvlText w:val="%1）"/>
      <w:lvlJc w:val="left"/>
      <w:pPr>
        <w:tabs>
          <w:tab w:val="left" w:pos="1100"/>
        </w:tabs>
        <w:ind w:left="1100" w:hanging="420"/>
      </w:pPr>
      <w:rPr>
        <w:rFonts w:hint="eastAsia"/>
      </w:rPr>
    </w:lvl>
    <w:lvl w:ilvl="1" w:tentative="0">
      <w:start w:val="1"/>
      <w:numFmt w:val="lowerLetter"/>
      <w:lvlText w:val="%2)"/>
      <w:lvlJc w:val="left"/>
      <w:pPr>
        <w:tabs>
          <w:tab w:val="left" w:pos="1010"/>
        </w:tabs>
        <w:ind w:left="1010" w:hanging="420"/>
      </w:pPr>
    </w:lvl>
    <w:lvl w:ilvl="2" w:tentative="0">
      <w:start w:val="1"/>
      <w:numFmt w:val="lowerRoman"/>
      <w:lvlText w:val="%3."/>
      <w:lvlJc w:val="right"/>
      <w:pPr>
        <w:tabs>
          <w:tab w:val="left" w:pos="1430"/>
        </w:tabs>
        <w:ind w:left="1430" w:hanging="420"/>
      </w:pPr>
    </w:lvl>
    <w:lvl w:ilvl="3" w:tentative="0">
      <w:start w:val="1"/>
      <w:numFmt w:val="decimal"/>
      <w:lvlText w:val="%4."/>
      <w:lvlJc w:val="left"/>
      <w:pPr>
        <w:tabs>
          <w:tab w:val="left" w:pos="1850"/>
        </w:tabs>
        <w:ind w:left="1850" w:hanging="420"/>
      </w:pPr>
    </w:lvl>
    <w:lvl w:ilvl="4" w:tentative="0">
      <w:start w:val="1"/>
      <w:numFmt w:val="lowerLetter"/>
      <w:lvlText w:val="%5)"/>
      <w:lvlJc w:val="left"/>
      <w:pPr>
        <w:tabs>
          <w:tab w:val="left" w:pos="2270"/>
        </w:tabs>
        <w:ind w:left="2270" w:hanging="420"/>
      </w:pPr>
    </w:lvl>
    <w:lvl w:ilvl="5" w:tentative="0">
      <w:start w:val="1"/>
      <w:numFmt w:val="lowerRoman"/>
      <w:lvlText w:val="%6."/>
      <w:lvlJc w:val="right"/>
      <w:pPr>
        <w:tabs>
          <w:tab w:val="left" w:pos="2690"/>
        </w:tabs>
        <w:ind w:left="2690" w:hanging="420"/>
      </w:pPr>
    </w:lvl>
    <w:lvl w:ilvl="6" w:tentative="0">
      <w:start w:val="1"/>
      <w:numFmt w:val="decimal"/>
      <w:lvlText w:val="%7."/>
      <w:lvlJc w:val="left"/>
      <w:pPr>
        <w:tabs>
          <w:tab w:val="left" w:pos="3110"/>
        </w:tabs>
        <w:ind w:left="3110" w:hanging="420"/>
      </w:pPr>
    </w:lvl>
    <w:lvl w:ilvl="7" w:tentative="0">
      <w:start w:val="1"/>
      <w:numFmt w:val="lowerLetter"/>
      <w:lvlText w:val="%8)"/>
      <w:lvlJc w:val="left"/>
      <w:pPr>
        <w:tabs>
          <w:tab w:val="left" w:pos="3530"/>
        </w:tabs>
        <w:ind w:left="3530" w:hanging="420"/>
      </w:pPr>
    </w:lvl>
    <w:lvl w:ilvl="8" w:tentative="0">
      <w:start w:val="1"/>
      <w:numFmt w:val="lowerRoman"/>
      <w:lvlText w:val="%9."/>
      <w:lvlJc w:val="right"/>
      <w:pPr>
        <w:tabs>
          <w:tab w:val="left" w:pos="3950"/>
        </w:tabs>
        <w:ind w:left="3950" w:hanging="420"/>
      </w:pPr>
    </w:lvl>
  </w:abstractNum>
  <w:abstractNum w:abstractNumId="94">
    <w:nsid w:val="23AD647F"/>
    <w:multiLevelType w:val="multilevel"/>
    <w:tmpl w:val="23AD647F"/>
    <w:lvl w:ilvl="0" w:tentative="0">
      <w:start w:val="1"/>
      <w:numFmt w:val="decimal"/>
      <w:lvlText w:val="%1）"/>
      <w:lvlJc w:val="left"/>
      <w:pPr>
        <w:tabs>
          <w:tab w:val="left" w:pos="915"/>
        </w:tabs>
        <w:ind w:left="915" w:hanging="420"/>
      </w:pPr>
      <w:rPr>
        <w:rFonts w:hint="eastAsia"/>
      </w:rPr>
    </w:lvl>
    <w:lvl w:ilvl="1" w:tentative="0">
      <w:start w:val="1"/>
      <w:numFmt w:val="decimal"/>
      <w:lvlText w:val="%2、"/>
      <w:lvlJc w:val="left"/>
      <w:pPr>
        <w:tabs>
          <w:tab w:val="left" w:pos="1275"/>
        </w:tabs>
        <w:ind w:left="1275" w:hanging="360"/>
      </w:pPr>
      <w:rPr>
        <w:rFonts w:hint="eastAsia"/>
      </w:rPr>
    </w:lvl>
    <w:lvl w:ilvl="2" w:tentative="0">
      <w:start w:val="1"/>
      <w:numFmt w:val="decimal"/>
      <w:lvlText w:val="（%3）"/>
      <w:lvlJc w:val="left"/>
      <w:pPr>
        <w:tabs>
          <w:tab w:val="left" w:pos="2055"/>
        </w:tabs>
        <w:ind w:left="2055" w:hanging="720"/>
      </w:pPr>
      <w:rPr>
        <w:rFonts w:hint="eastAsia"/>
      </w:rPr>
    </w:lvl>
    <w:lvl w:ilvl="3" w:tentative="0">
      <w:start w:val="1"/>
      <w:numFmt w:val="bullet"/>
      <w:lvlText w:val=""/>
      <w:lvlJc w:val="left"/>
      <w:pPr>
        <w:tabs>
          <w:tab w:val="left" w:pos="2175"/>
        </w:tabs>
        <w:ind w:left="2175" w:hanging="420"/>
      </w:pPr>
      <w:rPr>
        <w:rFonts w:hint="default" w:ascii="Wingdings" w:hAnsi="Wingdings"/>
      </w:rPr>
    </w:lvl>
    <w:lvl w:ilvl="4" w:tentative="0">
      <w:start w:val="1"/>
      <w:numFmt w:val="lowerLetter"/>
      <w:lvlText w:val="%5)"/>
      <w:lvlJc w:val="left"/>
      <w:pPr>
        <w:tabs>
          <w:tab w:val="left" w:pos="2595"/>
        </w:tabs>
        <w:ind w:left="2595" w:hanging="420"/>
      </w:pPr>
    </w:lvl>
    <w:lvl w:ilvl="5" w:tentative="0">
      <w:start w:val="1"/>
      <w:numFmt w:val="lowerRoman"/>
      <w:lvlText w:val="%6."/>
      <w:lvlJc w:val="right"/>
      <w:pPr>
        <w:tabs>
          <w:tab w:val="left" w:pos="3015"/>
        </w:tabs>
        <w:ind w:left="3015" w:hanging="420"/>
      </w:pPr>
    </w:lvl>
    <w:lvl w:ilvl="6" w:tentative="0">
      <w:start w:val="1"/>
      <w:numFmt w:val="decimal"/>
      <w:lvlText w:val="%7."/>
      <w:lvlJc w:val="left"/>
      <w:pPr>
        <w:tabs>
          <w:tab w:val="left" w:pos="3435"/>
        </w:tabs>
        <w:ind w:left="3435" w:hanging="420"/>
      </w:pPr>
    </w:lvl>
    <w:lvl w:ilvl="7" w:tentative="0">
      <w:start w:val="1"/>
      <w:numFmt w:val="lowerLetter"/>
      <w:lvlText w:val="%8)"/>
      <w:lvlJc w:val="left"/>
      <w:pPr>
        <w:tabs>
          <w:tab w:val="left" w:pos="3855"/>
        </w:tabs>
        <w:ind w:left="3855" w:hanging="420"/>
      </w:pPr>
    </w:lvl>
    <w:lvl w:ilvl="8" w:tentative="0">
      <w:start w:val="1"/>
      <w:numFmt w:val="lowerRoman"/>
      <w:lvlText w:val="%9."/>
      <w:lvlJc w:val="right"/>
      <w:pPr>
        <w:tabs>
          <w:tab w:val="left" w:pos="4275"/>
        </w:tabs>
        <w:ind w:left="4275" w:hanging="420"/>
      </w:pPr>
    </w:lvl>
  </w:abstractNum>
  <w:abstractNum w:abstractNumId="95">
    <w:nsid w:val="25317E9D"/>
    <w:multiLevelType w:val="multilevel"/>
    <w:tmpl w:val="25317E9D"/>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96">
    <w:nsid w:val="25CB6E2B"/>
    <w:multiLevelType w:val="multilevel"/>
    <w:tmpl w:val="25CB6E2B"/>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97">
    <w:nsid w:val="2A7104B3"/>
    <w:multiLevelType w:val="singleLevel"/>
    <w:tmpl w:val="2A7104B3"/>
    <w:lvl w:ilvl="0" w:tentative="0">
      <w:start w:val="1"/>
      <w:numFmt w:val="lowerLetter"/>
      <w:lvlText w:val="%1."/>
      <w:lvlJc w:val="left"/>
      <w:pPr>
        <w:ind w:left="425" w:hanging="425"/>
      </w:pPr>
      <w:rPr>
        <w:rFonts w:hint="default"/>
      </w:rPr>
    </w:lvl>
  </w:abstractNum>
  <w:abstractNum w:abstractNumId="98">
    <w:nsid w:val="2B4DB6C1"/>
    <w:multiLevelType w:val="singleLevel"/>
    <w:tmpl w:val="2B4DB6C1"/>
    <w:lvl w:ilvl="0" w:tentative="0">
      <w:start w:val="1"/>
      <w:numFmt w:val="decimal"/>
      <w:lvlText w:val="%1."/>
      <w:lvlJc w:val="left"/>
      <w:pPr>
        <w:ind w:left="425" w:hanging="425"/>
      </w:pPr>
      <w:rPr>
        <w:rFonts w:hint="default"/>
      </w:rPr>
    </w:lvl>
  </w:abstractNum>
  <w:abstractNum w:abstractNumId="99">
    <w:nsid w:val="2E11FEF8"/>
    <w:multiLevelType w:val="singleLevel"/>
    <w:tmpl w:val="2E11FEF8"/>
    <w:lvl w:ilvl="0" w:tentative="0">
      <w:start w:val="1"/>
      <w:numFmt w:val="decimal"/>
      <w:suff w:val="space"/>
      <w:lvlText w:val="%1)"/>
      <w:lvlJc w:val="left"/>
    </w:lvl>
  </w:abstractNum>
  <w:abstractNum w:abstractNumId="100">
    <w:nsid w:val="315370B6"/>
    <w:multiLevelType w:val="singleLevel"/>
    <w:tmpl w:val="315370B6"/>
    <w:lvl w:ilvl="0" w:tentative="0">
      <w:start w:val="1"/>
      <w:numFmt w:val="decimal"/>
      <w:suff w:val="space"/>
      <w:lvlText w:val="%1)"/>
      <w:lvlJc w:val="left"/>
    </w:lvl>
  </w:abstractNum>
  <w:abstractNum w:abstractNumId="101">
    <w:nsid w:val="31665EB2"/>
    <w:multiLevelType w:val="multilevel"/>
    <w:tmpl w:val="31665EB2"/>
    <w:lvl w:ilvl="0" w:tentative="0">
      <w:start w:val="1"/>
      <w:numFmt w:val="decimal"/>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2">
    <w:nsid w:val="32423F1D"/>
    <w:multiLevelType w:val="multilevel"/>
    <w:tmpl w:val="32423F1D"/>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3">
    <w:nsid w:val="33FD2F80"/>
    <w:multiLevelType w:val="singleLevel"/>
    <w:tmpl w:val="33FD2F80"/>
    <w:lvl w:ilvl="0" w:tentative="0">
      <w:start w:val="1"/>
      <w:numFmt w:val="decimal"/>
      <w:lvlText w:val="%1)"/>
      <w:lvlJc w:val="left"/>
      <w:pPr>
        <w:ind w:left="425" w:hanging="425"/>
      </w:pPr>
      <w:rPr>
        <w:rFonts w:hint="default"/>
      </w:rPr>
    </w:lvl>
  </w:abstractNum>
  <w:abstractNum w:abstractNumId="104">
    <w:nsid w:val="34595FA1"/>
    <w:multiLevelType w:val="multilevel"/>
    <w:tmpl w:val="34595FA1"/>
    <w:lvl w:ilvl="0" w:tentative="0">
      <w:start w:val="1"/>
      <w:numFmt w:val="decimal"/>
      <w:lvlText w:val="（%1）"/>
      <w:lvlJc w:val="left"/>
      <w:pPr>
        <w:tabs>
          <w:tab w:val="left" w:pos="1200"/>
        </w:tabs>
        <w:ind w:left="1200" w:hanging="72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decimal"/>
      <w:lvlText w:val="%3、"/>
      <w:lvlJc w:val="left"/>
      <w:pPr>
        <w:tabs>
          <w:tab w:val="left" w:pos="2040"/>
        </w:tabs>
        <w:ind w:left="2040" w:hanging="720"/>
      </w:pPr>
      <w:rPr>
        <w:rFonts w:hint="eastAsia"/>
      </w:rPr>
    </w:lvl>
    <w:lvl w:ilvl="3" w:tentative="0">
      <w:start w:val="7"/>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5">
    <w:nsid w:val="347C419C"/>
    <w:multiLevelType w:val="multilevel"/>
    <w:tmpl w:val="347C419C"/>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06">
    <w:nsid w:val="34852F2D"/>
    <w:multiLevelType w:val="multilevel"/>
    <w:tmpl w:val="34852F2D"/>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7">
    <w:nsid w:val="3782AC24"/>
    <w:multiLevelType w:val="singleLevel"/>
    <w:tmpl w:val="3782AC24"/>
    <w:lvl w:ilvl="0" w:tentative="0">
      <w:start w:val="1"/>
      <w:numFmt w:val="upperLetter"/>
      <w:lvlText w:val="%1."/>
      <w:lvlJc w:val="left"/>
      <w:pPr>
        <w:ind w:left="425" w:hanging="425"/>
      </w:pPr>
      <w:rPr>
        <w:rFonts w:hint="default"/>
      </w:rPr>
    </w:lvl>
  </w:abstractNum>
  <w:abstractNum w:abstractNumId="108">
    <w:nsid w:val="3A5C7091"/>
    <w:multiLevelType w:val="singleLevel"/>
    <w:tmpl w:val="3A5C7091"/>
    <w:lvl w:ilvl="0" w:tentative="0">
      <w:start w:val="1"/>
      <w:numFmt w:val="decimal"/>
      <w:lvlText w:val="%1)"/>
      <w:lvlJc w:val="left"/>
      <w:pPr>
        <w:ind w:left="425" w:hanging="425"/>
      </w:pPr>
      <w:rPr>
        <w:rFonts w:hint="default"/>
      </w:rPr>
    </w:lvl>
  </w:abstractNum>
  <w:abstractNum w:abstractNumId="109">
    <w:nsid w:val="3C390CC1"/>
    <w:multiLevelType w:val="multilevel"/>
    <w:tmpl w:val="3C390CC1"/>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10">
    <w:nsid w:val="3C6B1F95"/>
    <w:multiLevelType w:val="multilevel"/>
    <w:tmpl w:val="3C6B1F95"/>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11">
    <w:nsid w:val="3D484633"/>
    <w:multiLevelType w:val="multilevel"/>
    <w:tmpl w:val="3D484633"/>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12">
    <w:nsid w:val="3EAF78C5"/>
    <w:multiLevelType w:val="multilevel"/>
    <w:tmpl w:val="3EAF78C5"/>
    <w:lvl w:ilvl="0" w:tentative="0">
      <w:start w:val="1"/>
      <w:numFmt w:val="decimal"/>
      <w:lvlText w:val="%1、"/>
      <w:lvlJc w:val="left"/>
      <w:pPr>
        <w:tabs>
          <w:tab w:val="left" w:pos="1320"/>
        </w:tabs>
        <w:ind w:left="1320" w:hanging="84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3">
    <w:nsid w:val="3F1D7037"/>
    <w:multiLevelType w:val="multilevel"/>
    <w:tmpl w:val="3F1D7037"/>
    <w:lvl w:ilvl="0" w:tentative="0">
      <w:start w:val="1"/>
      <w:numFmt w:val="decimal"/>
      <w:lvlText w:val="%1、"/>
      <w:lvlJc w:val="left"/>
      <w:pPr>
        <w:tabs>
          <w:tab w:val="left" w:pos="840"/>
        </w:tabs>
        <w:ind w:left="840" w:hanging="360"/>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4">
    <w:nsid w:val="40B7F19B"/>
    <w:multiLevelType w:val="singleLevel"/>
    <w:tmpl w:val="40B7F19B"/>
    <w:lvl w:ilvl="0" w:tentative="0">
      <w:start w:val="1"/>
      <w:numFmt w:val="upperLetter"/>
      <w:lvlText w:val="%1."/>
      <w:lvlJc w:val="left"/>
      <w:pPr>
        <w:ind w:left="425" w:hanging="425"/>
      </w:pPr>
      <w:rPr>
        <w:rFonts w:hint="default"/>
      </w:rPr>
    </w:lvl>
  </w:abstractNum>
  <w:abstractNum w:abstractNumId="115">
    <w:nsid w:val="4277160F"/>
    <w:multiLevelType w:val="multilevel"/>
    <w:tmpl w:val="4277160F"/>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6">
    <w:nsid w:val="42ACA536"/>
    <w:multiLevelType w:val="singleLevel"/>
    <w:tmpl w:val="42ACA536"/>
    <w:lvl w:ilvl="0" w:tentative="0">
      <w:start w:val="1"/>
      <w:numFmt w:val="decimal"/>
      <w:lvlText w:val="%1)"/>
      <w:lvlJc w:val="left"/>
      <w:pPr>
        <w:ind w:left="425" w:hanging="425"/>
      </w:pPr>
      <w:rPr>
        <w:rFonts w:hint="default"/>
      </w:rPr>
    </w:lvl>
  </w:abstractNum>
  <w:abstractNum w:abstractNumId="117">
    <w:nsid w:val="4322364B"/>
    <w:multiLevelType w:val="multilevel"/>
    <w:tmpl w:val="4322364B"/>
    <w:lvl w:ilvl="0" w:tentative="0">
      <w:start w:val="1"/>
      <w:numFmt w:val="decimal"/>
      <w:lvlText w:val="%1"/>
      <w:lvlJc w:val="left"/>
      <w:pPr>
        <w:tabs>
          <w:tab w:val="left" w:pos="540"/>
        </w:tabs>
        <w:ind w:left="540" w:hanging="540"/>
      </w:pPr>
      <w:rPr>
        <w:rFonts w:hint="default"/>
      </w:rPr>
    </w:lvl>
    <w:lvl w:ilvl="1" w:tentative="0">
      <w:start w:val="1"/>
      <w:numFmt w:val="decimal"/>
      <w:lvlText w:val="2.%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18">
    <w:nsid w:val="444F5EF3"/>
    <w:multiLevelType w:val="multilevel"/>
    <w:tmpl w:val="444F5EF3"/>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9">
    <w:nsid w:val="46D643A7"/>
    <w:multiLevelType w:val="multilevel"/>
    <w:tmpl w:val="46D643A7"/>
    <w:lvl w:ilvl="0" w:tentative="0">
      <w:start w:val="1"/>
      <w:numFmt w:val="decimal"/>
      <w:lvlText w:val="%1"/>
      <w:lvlJc w:val="left"/>
      <w:pPr>
        <w:tabs>
          <w:tab w:val="left" w:pos="540"/>
        </w:tabs>
        <w:ind w:left="540" w:hanging="540"/>
      </w:pPr>
      <w:rPr>
        <w:rFonts w:hint="default"/>
      </w:rPr>
    </w:lvl>
    <w:lvl w:ilvl="1" w:tentative="0">
      <w:start w:val="1"/>
      <w:numFmt w:val="decimal"/>
      <w:lvlText w:val="3.%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20">
    <w:nsid w:val="47541F8B"/>
    <w:multiLevelType w:val="multilevel"/>
    <w:tmpl w:val="47541F8B"/>
    <w:lvl w:ilvl="0" w:tentative="0">
      <w:start w:val="1"/>
      <w:numFmt w:val="decimal"/>
      <w:lvlText w:val="%1."/>
      <w:lvlJc w:val="left"/>
      <w:pPr>
        <w:tabs>
          <w:tab w:val="left" w:pos="930"/>
        </w:tabs>
        <w:ind w:left="93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1">
    <w:nsid w:val="4893A91F"/>
    <w:multiLevelType w:val="multilevel"/>
    <w:tmpl w:val="4893A91F"/>
    <w:lvl w:ilvl="0" w:tentative="0">
      <w:start w:val="1"/>
      <w:numFmt w:val="decimal"/>
      <w:lvlText w:val="%1、"/>
      <w:lvlJc w:val="left"/>
      <w:pPr>
        <w:tabs>
          <w:tab w:val="left" w:pos="840"/>
        </w:tabs>
        <w:ind w:left="840" w:hanging="360"/>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22">
    <w:nsid w:val="48F05447"/>
    <w:multiLevelType w:val="multilevel"/>
    <w:tmpl w:val="48F05447"/>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3">
    <w:nsid w:val="49197E61"/>
    <w:multiLevelType w:val="multilevel"/>
    <w:tmpl w:val="49197E61"/>
    <w:lvl w:ilvl="0" w:tentative="0">
      <w:start w:val="1"/>
      <w:numFmt w:val="decimal"/>
      <w:lvlText w:val="第%1章"/>
      <w:lvlJc w:val="left"/>
      <w:pPr>
        <w:tabs>
          <w:tab w:val="left" w:pos="1275"/>
        </w:tabs>
        <w:ind w:left="1275" w:hanging="1275"/>
      </w:pPr>
      <w:rPr>
        <w:rFonts w:hint="eastAsia"/>
      </w:rPr>
    </w:lvl>
    <w:lvl w:ilvl="1" w:tentative="0">
      <w:start w:val="1"/>
      <w:numFmt w:val="japaneseCounting"/>
      <w:lvlText w:val="%2、"/>
      <w:lvlJc w:val="left"/>
      <w:pPr>
        <w:tabs>
          <w:tab w:val="left" w:pos="900"/>
        </w:tabs>
        <w:ind w:left="900" w:hanging="480"/>
      </w:pPr>
      <w:rPr>
        <w:rFonts w:hint="eastAsia"/>
      </w:rPr>
    </w:lvl>
    <w:lvl w:ilvl="2" w:tentative="0">
      <w:start w:val="1"/>
      <w:numFmt w:val="decimal"/>
      <w:lvlText w:val="%3)"/>
      <w:lvlJc w:val="left"/>
      <w:pPr>
        <w:tabs>
          <w:tab w:val="left" w:pos="1260"/>
        </w:tabs>
        <w:ind w:left="1260" w:hanging="420"/>
      </w:pPr>
    </w:lvl>
    <w:lvl w:ilvl="3" w:tentative="0">
      <w:start w:val="1"/>
      <w:numFmt w:val="upperLetter"/>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Letter"/>
      <w:lvlText w:val="%6."/>
      <w:lvlJc w:val="left"/>
      <w:pPr>
        <w:tabs>
          <w:tab w:val="left" w:pos="2460"/>
        </w:tabs>
        <w:ind w:left="2460" w:hanging="360"/>
      </w:pPr>
      <w:rPr>
        <w:rFonts w:hint="eastAsia"/>
      </w:rPr>
    </w:lvl>
    <w:lvl w:ilvl="6" w:tentative="0">
      <w:start w:val="1"/>
      <w:numFmt w:val="decimal"/>
      <w:lvlText w:val="%7、"/>
      <w:lvlJc w:val="left"/>
      <w:pPr>
        <w:tabs>
          <w:tab w:val="left" w:pos="2880"/>
        </w:tabs>
        <w:ind w:left="2880" w:hanging="360"/>
      </w:pPr>
      <w:rPr>
        <w:rFonts w:hint="eastAsia"/>
      </w:rPr>
    </w:lvl>
    <w:lvl w:ilvl="7" w:tentative="0">
      <w:start w:val="2"/>
      <w:numFmt w:val="decimal"/>
      <w:lvlText w:val="%8．"/>
      <w:lvlJc w:val="left"/>
      <w:pPr>
        <w:tabs>
          <w:tab w:val="left" w:pos="3660"/>
        </w:tabs>
        <w:ind w:left="3660" w:hanging="720"/>
      </w:pPr>
      <w:rPr>
        <w:rFonts w:hint="eastAsia"/>
      </w:rPr>
    </w:lvl>
    <w:lvl w:ilvl="8" w:tentative="0">
      <w:start w:val="1"/>
      <w:numFmt w:val="lowerRoman"/>
      <w:lvlText w:val="%9."/>
      <w:lvlJc w:val="right"/>
      <w:pPr>
        <w:tabs>
          <w:tab w:val="left" w:pos="3780"/>
        </w:tabs>
        <w:ind w:left="3780" w:hanging="420"/>
      </w:pPr>
    </w:lvl>
  </w:abstractNum>
  <w:abstractNum w:abstractNumId="124">
    <w:nsid w:val="4C3CCC32"/>
    <w:multiLevelType w:val="singleLevel"/>
    <w:tmpl w:val="4C3CCC32"/>
    <w:lvl w:ilvl="0" w:tentative="0">
      <w:start w:val="1"/>
      <w:numFmt w:val="decimal"/>
      <w:lvlText w:val="%1."/>
      <w:lvlJc w:val="left"/>
      <w:pPr>
        <w:ind w:left="425" w:hanging="425"/>
      </w:pPr>
      <w:rPr>
        <w:rFonts w:hint="default"/>
      </w:rPr>
    </w:lvl>
  </w:abstractNum>
  <w:abstractNum w:abstractNumId="125">
    <w:nsid w:val="4C6A34AF"/>
    <w:multiLevelType w:val="multilevel"/>
    <w:tmpl w:val="4C6A34AF"/>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6">
    <w:nsid w:val="4C9F47E9"/>
    <w:multiLevelType w:val="multilevel"/>
    <w:tmpl w:val="4C9F47E9"/>
    <w:lvl w:ilvl="0" w:tentative="0">
      <w:start w:val="1"/>
      <w:numFmt w:val="decimal"/>
      <w:lvlText w:val="3.%1"/>
      <w:lvlJc w:val="left"/>
      <w:pPr>
        <w:tabs>
          <w:tab w:val="left" w:pos="1271"/>
        </w:tabs>
        <w:ind w:left="1271" w:hanging="851"/>
      </w:pPr>
      <w:rPr>
        <w:rFonts w:hint="default"/>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7">
    <w:nsid w:val="4E227D45"/>
    <w:multiLevelType w:val="singleLevel"/>
    <w:tmpl w:val="4E227D45"/>
    <w:lvl w:ilvl="0" w:tentative="0">
      <w:start w:val="1"/>
      <w:numFmt w:val="decimal"/>
      <w:lvlText w:val="%1)"/>
      <w:lvlJc w:val="left"/>
      <w:pPr>
        <w:ind w:left="425" w:hanging="425"/>
      </w:pPr>
      <w:rPr>
        <w:rFonts w:hint="default"/>
      </w:rPr>
    </w:lvl>
  </w:abstractNum>
  <w:abstractNum w:abstractNumId="128">
    <w:nsid w:val="51502B37"/>
    <w:multiLevelType w:val="multilevel"/>
    <w:tmpl w:val="51502B37"/>
    <w:lvl w:ilvl="0" w:tentative="0">
      <w:start w:val="1"/>
      <w:numFmt w:val="decimal"/>
      <w:lvlText w:val="%1"/>
      <w:lvlJc w:val="left"/>
      <w:pPr>
        <w:tabs>
          <w:tab w:val="left" w:pos="540"/>
        </w:tabs>
        <w:ind w:left="540" w:hanging="540"/>
      </w:pPr>
      <w:rPr>
        <w:rFonts w:hint="default"/>
      </w:rPr>
    </w:lvl>
    <w:lvl w:ilvl="1" w:tentative="0">
      <w:start w:val="1"/>
      <w:numFmt w:val="decimal"/>
      <w:lvlText w:val="3.%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29">
    <w:nsid w:val="5175246C"/>
    <w:multiLevelType w:val="singleLevel"/>
    <w:tmpl w:val="5175246C"/>
    <w:lvl w:ilvl="0" w:tentative="0">
      <w:start w:val="1"/>
      <w:numFmt w:val="decimal"/>
      <w:lvlText w:val="%1)"/>
      <w:lvlJc w:val="left"/>
      <w:pPr>
        <w:ind w:left="425" w:hanging="425"/>
      </w:pPr>
      <w:rPr>
        <w:rFonts w:hint="default"/>
      </w:rPr>
    </w:lvl>
  </w:abstractNum>
  <w:abstractNum w:abstractNumId="130">
    <w:nsid w:val="51E90D07"/>
    <w:multiLevelType w:val="multilevel"/>
    <w:tmpl w:val="51E90D07"/>
    <w:lvl w:ilvl="0" w:tentative="0">
      <w:start w:val="1"/>
      <w:numFmt w:val="decimal"/>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1">
    <w:nsid w:val="529DFF73"/>
    <w:multiLevelType w:val="singleLevel"/>
    <w:tmpl w:val="529DFF73"/>
    <w:lvl w:ilvl="0" w:tentative="0">
      <w:start w:val="1"/>
      <w:numFmt w:val="decimal"/>
      <w:lvlText w:val="%1)"/>
      <w:lvlJc w:val="left"/>
      <w:pPr>
        <w:ind w:left="425" w:hanging="425"/>
      </w:pPr>
      <w:rPr>
        <w:rFonts w:hint="default"/>
      </w:rPr>
    </w:lvl>
  </w:abstractNum>
  <w:abstractNum w:abstractNumId="132">
    <w:nsid w:val="53AC800C"/>
    <w:multiLevelType w:val="singleLevel"/>
    <w:tmpl w:val="53AC800C"/>
    <w:lvl w:ilvl="0" w:tentative="0">
      <w:start w:val="1"/>
      <w:numFmt w:val="lowerLetter"/>
      <w:lvlText w:val="%1."/>
      <w:lvlJc w:val="left"/>
      <w:pPr>
        <w:ind w:left="425" w:hanging="425"/>
      </w:pPr>
      <w:rPr>
        <w:rFonts w:hint="default"/>
      </w:rPr>
    </w:lvl>
  </w:abstractNum>
  <w:abstractNum w:abstractNumId="133">
    <w:nsid w:val="541BD43E"/>
    <w:multiLevelType w:val="multilevel"/>
    <w:tmpl w:val="541BD43E"/>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4">
    <w:nsid w:val="54FE6387"/>
    <w:multiLevelType w:val="multilevel"/>
    <w:tmpl w:val="54FE6387"/>
    <w:lvl w:ilvl="0" w:tentative="0">
      <w:start w:val="1"/>
      <w:numFmt w:val="decimal"/>
      <w:lvlText w:val="%1."/>
      <w:lvlJc w:val="left"/>
      <w:pPr>
        <w:tabs>
          <w:tab w:val="left" w:pos="1260"/>
        </w:tabs>
        <w:ind w:left="1260"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135">
    <w:nsid w:val="5594394E"/>
    <w:multiLevelType w:val="singleLevel"/>
    <w:tmpl w:val="5594394E"/>
    <w:lvl w:ilvl="0" w:tentative="0">
      <w:start w:val="1"/>
      <w:numFmt w:val="decimalEnclosedCircleChinese"/>
      <w:suff w:val="nothing"/>
      <w:lvlText w:val="%1　"/>
      <w:lvlJc w:val="left"/>
      <w:pPr>
        <w:ind w:left="0" w:firstLine="400"/>
      </w:pPr>
      <w:rPr>
        <w:rFonts w:hint="eastAsia"/>
      </w:rPr>
    </w:lvl>
  </w:abstractNum>
  <w:abstractNum w:abstractNumId="136">
    <w:nsid w:val="5659A384"/>
    <w:multiLevelType w:val="singleLevel"/>
    <w:tmpl w:val="5659A384"/>
    <w:lvl w:ilvl="0" w:tentative="0">
      <w:start w:val="1"/>
      <w:numFmt w:val="decimal"/>
      <w:lvlText w:val="%1."/>
      <w:lvlJc w:val="left"/>
      <w:pPr>
        <w:ind w:left="425" w:hanging="425"/>
      </w:pPr>
      <w:rPr>
        <w:rFonts w:hint="default"/>
      </w:rPr>
    </w:lvl>
  </w:abstractNum>
  <w:abstractNum w:abstractNumId="137">
    <w:nsid w:val="5708175F"/>
    <w:multiLevelType w:val="singleLevel"/>
    <w:tmpl w:val="5708175F"/>
    <w:lvl w:ilvl="0" w:tentative="0">
      <w:start w:val="1"/>
      <w:numFmt w:val="upperLetter"/>
      <w:lvlText w:val="%1."/>
      <w:lvlJc w:val="left"/>
      <w:pPr>
        <w:ind w:left="425" w:hanging="425"/>
      </w:pPr>
      <w:rPr>
        <w:rFonts w:hint="default"/>
      </w:rPr>
    </w:lvl>
  </w:abstractNum>
  <w:abstractNum w:abstractNumId="138">
    <w:nsid w:val="5832F45D"/>
    <w:multiLevelType w:val="singleLevel"/>
    <w:tmpl w:val="5832F45D"/>
    <w:lvl w:ilvl="0" w:tentative="0">
      <w:start w:val="1"/>
      <w:numFmt w:val="decimalEnclosedCircleChinese"/>
      <w:suff w:val="nothing"/>
      <w:lvlText w:val="%1　"/>
      <w:lvlJc w:val="left"/>
      <w:pPr>
        <w:ind w:left="0" w:firstLine="400"/>
      </w:pPr>
      <w:rPr>
        <w:rFonts w:hint="eastAsia"/>
      </w:rPr>
    </w:lvl>
  </w:abstractNum>
  <w:abstractNum w:abstractNumId="139">
    <w:nsid w:val="597A3F75"/>
    <w:multiLevelType w:val="multilevel"/>
    <w:tmpl w:val="597A3F75"/>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0">
    <w:nsid w:val="5A1A3C68"/>
    <w:multiLevelType w:val="singleLevel"/>
    <w:tmpl w:val="5A1A3C68"/>
    <w:lvl w:ilvl="0" w:tentative="0">
      <w:start w:val="1"/>
      <w:numFmt w:val="upperLetter"/>
      <w:lvlText w:val="%1."/>
      <w:lvlJc w:val="left"/>
      <w:pPr>
        <w:ind w:left="425" w:hanging="425"/>
      </w:pPr>
      <w:rPr>
        <w:rFonts w:hint="default"/>
      </w:rPr>
    </w:lvl>
  </w:abstractNum>
  <w:abstractNum w:abstractNumId="141">
    <w:nsid w:val="5C95C6B6"/>
    <w:multiLevelType w:val="multilevel"/>
    <w:tmpl w:val="5C95C6B6"/>
    <w:lvl w:ilvl="0" w:tentative="0">
      <w:start w:val="1"/>
      <w:numFmt w:val="decimal"/>
      <w:lvlText w:val="%1、"/>
      <w:lvlJc w:val="left"/>
      <w:pPr>
        <w:tabs>
          <w:tab w:val="left" w:pos="840"/>
        </w:tabs>
        <w:ind w:left="840" w:hanging="360"/>
      </w:pPr>
      <w:rPr>
        <w:rFonts w:hint="eastAsia"/>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2">
    <w:nsid w:val="5EA6ADD0"/>
    <w:multiLevelType w:val="multilevel"/>
    <w:tmpl w:val="5EA6ADD0"/>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3">
    <w:nsid w:val="6037DF19"/>
    <w:multiLevelType w:val="multilevel"/>
    <w:tmpl w:val="6037DF19"/>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44">
    <w:nsid w:val="61C0A396"/>
    <w:multiLevelType w:val="multilevel"/>
    <w:tmpl w:val="61C0A396"/>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5">
    <w:nsid w:val="63B56585"/>
    <w:multiLevelType w:val="multilevel"/>
    <w:tmpl w:val="63B56585"/>
    <w:lvl w:ilvl="0" w:tentative="0">
      <w:start w:val="1"/>
      <w:numFmt w:val="decimal"/>
      <w:lvlText w:val="（%1）"/>
      <w:lvlJc w:val="left"/>
      <w:pPr>
        <w:tabs>
          <w:tab w:val="left" w:pos="1320"/>
        </w:tabs>
        <w:ind w:left="1320" w:hanging="720"/>
      </w:pPr>
      <w:rPr>
        <w:rFonts w:hint="eastAsia"/>
      </w:rPr>
    </w:lvl>
    <w:lvl w:ilvl="1" w:tentative="0">
      <w:start w:val="1"/>
      <w:numFmt w:val="decimal"/>
      <w:lvlText w:val="%2、"/>
      <w:lvlJc w:val="left"/>
      <w:pPr>
        <w:tabs>
          <w:tab w:val="left" w:pos="1935"/>
        </w:tabs>
        <w:ind w:left="1935" w:hanging="915"/>
      </w:pPr>
      <w:rPr>
        <w:rFonts w:hint="eastAsia"/>
      </w:r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146">
    <w:nsid w:val="63E02BEE"/>
    <w:multiLevelType w:val="singleLevel"/>
    <w:tmpl w:val="63E02BEE"/>
    <w:lvl w:ilvl="0" w:tentative="0">
      <w:start w:val="1"/>
      <w:numFmt w:val="lowerLetter"/>
      <w:lvlText w:val="%1."/>
      <w:lvlJc w:val="left"/>
      <w:pPr>
        <w:ind w:left="425" w:hanging="425"/>
      </w:pPr>
      <w:rPr>
        <w:rFonts w:hint="default"/>
      </w:rPr>
    </w:lvl>
  </w:abstractNum>
  <w:abstractNum w:abstractNumId="147">
    <w:nsid w:val="66C340EF"/>
    <w:multiLevelType w:val="singleLevel"/>
    <w:tmpl w:val="66C340EF"/>
    <w:lvl w:ilvl="0" w:tentative="0">
      <w:start w:val="1"/>
      <w:numFmt w:val="upperLetter"/>
      <w:lvlText w:val="%1."/>
      <w:lvlJc w:val="left"/>
      <w:pPr>
        <w:ind w:left="425" w:hanging="425"/>
      </w:pPr>
      <w:rPr>
        <w:rFonts w:hint="default"/>
      </w:rPr>
    </w:lvl>
  </w:abstractNum>
  <w:abstractNum w:abstractNumId="148">
    <w:nsid w:val="683CB718"/>
    <w:multiLevelType w:val="singleLevel"/>
    <w:tmpl w:val="683CB718"/>
    <w:lvl w:ilvl="0" w:tentative="0">
      <w:start w:val="1"/>
      <w:numFmt w:val="upperLetter"/>
      <w:lvlText w:val="%1."/>
      <w:lvlJc w:val="left"/>
      <w:pPr>
        <w:ind w:left="425" w:hanging="425"/>
      </w:pPr>
      <w:rPr>
        <w:rFonts w:hint="default"/>
      </w:rPr>
    </w:lvl>
  </w:abstractNum>
  <w:abstractNum w:abstractNumId="149">
    <w:nsid w:val="695F9BE0"/>
    <w:multiLevelType w:val="singleLevel"/>
    <w:tmpl w:val="695F9BE0"/>
    <w:lvl w:ilvl="0" w:tentative="0">
      <w:start w:val="1"/>
      <w:numFmt w:val="decimal"/>
      <w:lvlText w:val="%1)"/>
      <w:lvlJc w:val="left"/>
      <w:pPr>
        <w:ind w:left="425" w:hanging="425"/>
      </w:pPr>
      <w:rPr>
        <w:rFonts w:hint="default"/>
      </w:rPr>
    </w:lvl>
  </w:abstractNum>
  <w:abstractNum w:abstractNumId="150">
    <w:nsid w:val="6A1A267B"/>
    <w:multiLevelType w:val="multilevel"/>
    <w:tmpl w:val="6A1A267B"/>
    <w:lvl w:ilvl="0" w:tentative="0">
      <w:start w:val="1"/>
      <w:numFmt w:val="decimal"/>
      <w:lvlText w:val="（%1）"/>
      <w:lvlJc w:val="left"/>
      <w:pPr>
        <w:tabs>
          <w:tab w:val="left" w:pos="1200"/>
        </w:tabs>
        <w:ind w:left="1200" w:hanging="72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decimal"/>
      <w:lvlText w:val="%3、"/>
      <w:lvlJc w:val="left"/>
      <w:pPr>
        <w:tabs>
          <w:tab w:val="left" w:pos="2040"/>
        </w:tabs>
        <w:ind w:left="2040" w:hanging="720"/>
      </w:pPr>
      <w:rPr>
        <w:rFonts w:hint="eastAsia"/>
      </w:rPr>
    </w:lvl>
    <w:lvl w:ilvl="3" w:tentative="0">
      <w:start w:val="7"/>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1">
    <w:nsid w:val="6B4D24E8"/>
    <w:multiLevelType w:val="multilevel"/>
    <w:tmpl w:val="6B4D24E8"/>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2">
    <w:nsid w:val="6C1C32C1"/>
    <w:multiLevelType w:val="multilevel"/>
    <w:tmpl w:val="6C1C32C1"/>
    <w:lvl w:ilvl="0" w:tentative="0">
      <w:start w:val="1"/>
      <w:numFmt w:val="decimal"/>
      <w:lvlText w:val="%1）"/>
      <w:lvlJc w:val="left"/>
      <w:pPr>
        <w:tabs>
          <w:tab w:val="left" w:pos="900"/>
        </w:tabs>
        <w:ind w:left="900" w:hanging="42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3">
    <w:nsid w:val="6D3F0CD1"/>
    <w:multiLevelType w:val="multilevel"/>
    <w:tmpl w:val="6D3F0CD1"/>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4">
    <w:nsid w:val="6E95E611"/>
    <w:multiLevelType w:val="singleLevel"/>
    <w:tmpl w:val="6E95E611"/>
    <w:lvl w:ilvl="0" w:tentative="0">
      <w:start w:val="1"/>
      <w:numFmt w:val="decimal"/>
      <w:lvlText w:val="%1."/>
      <w:lvlJc w:val="left"/>
      <w:pPr>
        <w:ind w:left="425" w:hanging="425"/>
      </w:pPr>
      <w:rPr>
        <w:rFonts w:hint="default"/>
      </w:rPr>
    </w:lvl>
  </w:abstractNum>
  <w:abstractNum w:abstractNumId="155">
    <w:nsid w:val="6EB349E8"/>
    <w:multiLevelType w:val="multilevel"/>
    <w:tmpl w:val="6EB349E8"/>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6">
    <w:nsid w:val="700D6508"/>
    <w:multiLevelType w:val="multilevel"/>
    <w:tmpl w:val="700D6508"/>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7">
    <w:nsid w:val="726135C0"/>
    <w:multiLevelType w:val="multilevel"/>
    <w:tmpl w:val="726135C0"/>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8">
    <w:nsid w:val="72BCBD38"/>
    <w:multiLevelType w:val="multilevel"/>
    <w:tmpl w:val="72BCBD38"/>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9">
    <w:nsid w:val="73091AA2"/>
    <w:multiLevelType w:val="singleLevel"/>
    <w:tmpl w:val="73091AA2"/>
    <w:lvl w:ilvl="0" w:tentative="0">
      <w:start w:val="1"/>
      <w:numFmt w:val="decimalEnclosedCircleChinese"/>
      <w:suff w:val="nothing"/>
      <w:lvlText w:val="%1　"/>
      <w:lvlJc w:val="left"/>
      <w:pPr>
        <w:ind w:left="0" w:firstLine="400"/>
      </w:pPr>
      <w:rPr>
        <w:rFonts w:hint="eastAsia"/>
      </w:rPr>
    </w:lvl>
  </w:abstractNum>
  <w:abstractNum w:abstractNumId="160">
    <w:nsid w:val="73457F09"/>
    <w:multiLevelType w:val="multilevel"/>
    <w:tmpl w:val="73457F09"/>
    <w:lvl w:ilvl="0" w:tentative="0">
      <w:start w:val="1"/>
      <w:numFmt w:val="decimal"/>
      <w:lvlText w:val="%1."/>
      <w:lvlJc w:val="left"/>
      <w:pPr>
        <w:tabs>
          <w:tab w:val="left" w:pos="930"/>
        </w:tabs>
        <w:ind w:left="93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1">
    <w:nsid w:val="73776DA4"/>
    <w:multiLevelType w:val="multilevel"/>
    <w:tmpl w:val="73776DA4"/>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62">
    <w:nsid w:val="74FD6AD7"/>
    <w:multiLevelType w:val="multilevel"/>
    <w:tmpl w:val="74FD6AD7"/>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63">
    <w:nsid w:val="74FF2600"/>
    <w:multiLevelType w:val="multilevel"/>
    <w:tmpl w:val="74FF2600"/>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4">
    <w:nsid w:val="78C27B66"/>
    <w:multiLevelType w:val="multilevel"/>
    <w:tmpl w:val="78C27B66"/>
    <w:lvl w:ilvl="0" w:tentative="0">
      <w:start w:val="1"/>
      <w:numFmt w:val="decimal"/>
      <w:lvlText w:val="%1"/>
      <w:lvlJc w:val="left"/>
      <w:pPr>
        <w:tabs>
          <w:tab w:val="left" w:pos="540"/>
        </w:tabs>
        <w:ind w:left="540" w:hanging="540"/>
      </w:pPr>
      <w:rPr>
        <w:rFonts w:hint="default"/>
      </w:rPr>
    </w:lvl>
    <w:lvl w:ilvl="1" w:tentative="0">
      <w:start w:val="1"/>
      <w:numFmt w:val="decimal"/>
      <w:lvlText w:val="1.%2"/>
      <w:lvlJc w:val="left"/>
      <w:pPr>
        <w:tabs>
          <w:tab w:val="left" w:pos="851"/>
        </w:tabs>
        <w:ind w:left="1758" w:hanging="1758"/>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165">
    <w:nsid w:val="78C8E1EF"/>
    <w:multiLevelType w:val="multilevel"/>
    <w:tmpl w:val="78C8E1EF"/>
    <w:lvl w:ilvl="0" w:tentative="0">
      <w:start w:val="1"/>
      <w:numFmt w:val="decimal"/>
      <w:lvlText w:val="（%1）"/>
      <w:lvlJc w:val="left"/>
      <w:pPr>
        <w:tabs>
          <w:tab w:val="left" w:pos="1200"/>
        </w:tabs>
        <w:ind w:left="1200" w:hanging="72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decimal"/>
      <w:lvlText w:val="%3、"/>
      <w:lvlJc w:val="left"/>
      <w:pPr>
        <w:tabs>
          <w:tab w:val="left" w:pos="2040"/>
        </w:tabs>
        <w:ind w:left="2040" w:hanging="720"/>
      </w:pPr>
      <w:rPr>
        <w:rFonts w:hint="eastAsia"/>
      </w:rPr>
    </w:lvl>
    <w:lvl w:ilvl="3" w:tentative="0">
      <w:start w:val="7"/>
      <w:numFmt w:val="decimal"/>
      <w:lvlText w:val="第%4章"/>
      <w:lvlJc w:val="left"/>
      <w:pPr>
        <w:tabs>
          <w:tab w:val="left" w:pos="2820"/>
        </w:tabs>
        <w:ind w:left="2820" w:hanging="1080"/>
      </w:pPr>
      <w:rPr>
        <w:rFonts w:hint="eastAsia"/>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6">
    <w:nsid w:val="79C340AB"/>
    <w:multiLevelType w:val="singleLevel"/>
    <w:tmpl w:val="79C340AB"/>
    <w:lvl w:ilvl="0" w:tentative="0">
      <w:start w:val="1"/>
      <w:numFmt w:val="decimal"/>
      <w:lvlText w:val="%1."/>
      <w:lvlJc w:val="left"/>
      <w:pPr>
        <w:ind w:left="425" w:hanging="425"/>
      </w:pPr>
      <w:rPr>
        <w:rFonts w:hint="default"/>
      </w:rPr>
    </w:lvl>
  </w:abstractNum>
  <w:abstractNum w:abstractNumId="167">
    <w:nsid w:val="7A68ECE6"/>
    <w:multiLevelType w:val="singleLevel"/>
    <w:tmpl w:val="7A68ECE6"/>
    <w:lvl w:ilvl="0" w:tentative="0">
      <w:start w:val="1"/>
      <w:numFmt w:val="upperLetter"/>
      <w:lvlText w:val="%1."/>
      <w:lvlJc w:val="left"/>
      <w:pPr>
        <w:ind w:left="425" w:hanging="425"/>
      </w:pPr>
      <w:rPr>
        <w:rFonts w:hint="default"/>
      </w:rPr>
    </w:lvl>
  </w:abstractNum>
  <w:abstractNum w:abstractNumId="168">
    <w:nsid w:val="7BDB9A71"/>
    <w:multiLevelType w:val="multilevel"/>
    <w:tmpl w:val="7BDB9A71"/>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9">
    <w:nsid w:val="7CE362B7"/>
    <w:multiLevelType w:val="multilevel"/>
    <w:tmpl w:val="7CE362B7"/>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0">
    <w:nsid w:val="7E0AF76F"/>
    <w:multiLevelType w:val="singleLevel"/>
    <w:tmpl w:val="7E0AF76F"/>
    <w:lvl w:ilvl="0" w:tentative="0">
      <w:start w:val="1"/>
      <w:numFmt w:val="decimal"/>
      <w:lvlText w:val="%1)"/>
      <w:lvlJc w:val="left"/>
      <w:pPr>
        <w:ind w:left="425" w:hanging="425"/>
      </w:pPr>
      <w:rPr>
        <w:rFonts w:hint="default"/>
      </w:rPr>
    </w:lvl>
  </w:abstractNum>
  <w:num w:numId="1">
    <w:abstractNumId w:val="73"/>
  </w:num>
  <w:num w:numId="2">
    <w:abstractNumId w:val="84"/>
  </w:num>
  <w:num w:numId="3">
    <w:abstractNumId w:val="161"/>
  </w:num>
  <w:num w:numId="4">
    <w:abstractNumId w:val="157"/>
  </w:num>
  <w:num w:numId="5">
    <w:abstractNumId w:val="48"/>
  </w:num>
  <w:num w:numId="6">
    <w:abstractNumId w:val="1"/>
  </w:num>
  <w:num w:numId="7">
    <w:abstractNumId w:val="36"/>
  </w:num>
  <w:num w:numId="8">
    <w:abstractNumId w:val="40"/>
  </w:num>
  <w:num w:numId="9">
    <w:abstractNumId w:val="111"/>
  </w:num>
  <w:num w:numId="10">
    <w:abstractNumId w:val="160"/>
  </w:num>
  <w:num w:numId="11">
    <w:abstractNumId w:val="120"/>
  </w:num>
  <w:num w:numId="12">
    <w:abstractNumId w:val="91"/>
  </w:num>
  <w:num w:numId="13">
    <w:abstractNumId w:val="32"/>
  </w:num>
  <w:num w:numId="14">
    <w:abstractNumId w:val="93"/>
  </w:num>
  <w:num w:numId="15">
    <w:abstractNumId w:val="123"/>
  </w:num>
  <w:num w:numId="16">
    <w:abstractNumId w:val="110"/>
  </w:num>
  <w:num w:numId="17">
    <w:abstractNumId w:val="151"/>
  </w:num>
  <w:num w:numId="18">
    <w:abstractNumId w:val="26"/>
  </w:num>
  <w:num w:numId="19">
    <w:abstractNumId w:val="89"/>
  </w:num>
  <w:num w:numId="20">
    <w:abstractNumId w:val="81"/>
  </w:num>
  <w:num w:numId="21">
    <w:abstractNumId w:val="99"/>
  </w:num>
  <w:num w:numId="22">
    <w:abstractNumId w:val="100"/>
  </w:num>
  <w:num w:numId="23">
    <w:abstractNumId w:val="134"/>
  </w:num>
  <w:num w:numId="24">
    <w:abstractNumId w:val="90"/>
  </w:num>
  <w:num w:numId="25">
    <w:abstractNumId w:val="66"/>
  </w:num>
  <w:num w:numId="26">
    <w:abstractNumId w:val="101"/>
  </w:num>
  <w:num w:numId="27">
    <w:abstractNumId w:val="126"/>
  </w:num>
  <w:num w:numId="28">
    <w:abstractNumId w:val="70"/>
  </w:num>
  <w:num w:numId="29">
    <w:abstractNumId w:val="87"/>
  </w:num>
  <w:num w:numId="30">
    <w:abstractNumId w:val="125"/>
  </w:num>
  <w:num w:numId="31">
    <w:abstractNumId w:val="152"/>
  </w:num>
  <w:num w:numId="32">
    <w:abstractNumId w:val="83"/>
  </w:num>
  <w:num w:numId="33">
    <w:abstractNumId w:val="94"/>
  </w:num>
  <w:num w:numId="34">
    <w:abstractNumId w:val="117"/>
  </w:num>
  <w:num w:numId="35">
    <w:abstractNumId w:val="130"/>
  </w:num>
  <w:num w:numId="36">
    <w:abstractNumId w:val="42"/>
  </w:num>
  <w:num w:numId="37">
    <w:abstractNumId w:val="27"/>
  </w:num>
  <w:num w:numId="38">
    <w:abstractNumId w:val="137"/>
  </w:num>
  <w:num w:numId="39">
    <w:abstractNumId w:val="49"/>
  </w:num>
  <w:num w:numId="40">
    <w:abstractNumId w:val="9"/>
  </w:num>
  <w:num w:numId="41">
    <w:abstractNumId w:val="20"/>
  </w:num>
  <w:num w:numId="42">
    <w:abstractNumId w:val="50"/>
  </w:num>
  <w:num w:numId="43">
    <w:abstractNumId w:val="167"/>
  </w:num>
  <w:num w:numId="44">
    <w:abstractNumId w:val="17"/>
  </w:num>
  <w:num w:numId="45">
    <w:abstractNumId w:val="98"/>
  </w:num>
  <w:num w:numId="46">
    <w:abstractNumId w:val="107"/>
  </w:num>
  <w:num w:numId="47">
    <w:abstractNumId w:val="147"/>
  </w:num>
  <w:num w:numId="48">
    <w:abstractNumId w:val="72"/>
  </w:num>
  <w:num w:numId="49">
    <w:abstractNumId w:val="71"/>
  </w:num>
  <w:num w:numId="50">
    <w:abstractNumId w:val="22"/>
  </w:num>
  <w:num w:numId="51">
    <w:abstractNumId w:val="21"/>
  </w:num>
  <w:num w:numId="52">
    <w:abstractNumId w:val="23"/>
  </w:num>
  <w:num w:numId="53">
    <w:abstractNumId w:val="10"/>
  </w:num>
  <w:num w:numId="54">
    <w:abstractNumId w:val="29"/>
  </w:num>
  <w:num w:numId="55">
    <w:abstractNumId w:val="129"/>
  </w:num>
  <w:num w:numId="56">
    <w:abstractNumId w:val="37"/>
  </w:num>
  <w:num w:numId="57">
    <w:abstractNumId w:val="6"/>
  </w:num>
  <w:num w:numId="58">
    <w:abstractNumId w:val="78"/>
  </w:num>
  <w:num w:numId="59">
    <w:abstractNumId w:val="154"/>
  </w:num>
  <w:num w:numId="60">
    <w:abstractNumId w:val="68"/>
  </w:num>
  <w:num w:numId="61">
    <w:abstractNumId w:val="166"/>
  </w:num>
  <w:num w:numId="62">
    <w:abstractNumId w:val="114"/>
  </w:num>
  <w:num w:numId="63">
    <w:abstractNumId w:val="59"/>
  </w:num>
  <w:num w:numId="64">
    <w:abstractNumId w:val="77"/>
  </w:num>
  <w:num w:numId="65">
    <w:abstractNumId w:val="148"/>
  </w:num>
  <w:num w:numId="66">
    <w:abstractNumId w:val="41"/>
  </w:num>
  <w:num w:numId="67">
    <w:abstractNumId w:val="86"/>
  </w:num>
  <w:num w:numId="68">
    <w:abstractNumId w:val="18"/>
  </w:num>
  <w:num w:numId="69">
    <w:abstractNumId w:val="140"/>
  </w:num>
  <w:num w:numId="70">
    <w:abstractNumId w:val="136"/>
  </w:num>
  <w:num w:numId="71">
    <w:abstractNumId w:val="62"/>
  </w:num>
  <w:num w:numId="72">
    <w:abstractNumId w:val="149"/>
  </w:num>
  <w:num w:numId="73">
    <w:abstractNumId w:val="16"/>
  </w:num>
  <w:num w:numId="74">
    <w:abstractNumId w:val="79"/>
  </w:num>
  <w:num w:numId="75">
    <w:abstractNumId w:val="116"/>
  </w:num>
  <w:num w:numId="76">
    <w:abstractNumId w:val="2"/>
  </w:num>
  <w:num w:numId="77">
    <w:abstractNumId w:val="108"/>
  </w:num>
  <w:num w:numId="78">
    <w:abstractNumId w:val="31"/>
  </w:num>
  <w:num w:numId="79">
    <w:abstractNumId w:val="138"/>
  </w:num>
  <w:num w:numId="80">
    <w:abstractNumId w:val="124"/>
  </w:num>
  <w:num w:numId="81">
    <w:abstractNumId w:val="103"/>
  </w:num>
  <w:num w:numId="82">
    <w:abstractNumId w:val="170"/>
  </w:num>
  <w:num w:numId="83">
    <w:abstractNumId w:val="162"/>
  </w:num>
  <w:num w:numId="84">
    <w:abstractNumId w:val="38"/>
  </w:num>
  <w:num w:numId="85">
    <w:abstractNumId w:val="69"/>
  </w:num>
  <w:num w:numId="86">
    <w:abstractNumId w:val="55"/>
  </w:num>
  <w:num w:numId="87">
    <w:abstractNumId w:val="95"/>
  </w:num>
  <w:num w:numId="88">
    <w:abstractNumId w:val="121"/>
  </w:num>
  <w:num w:numId="89">
    <w:abstractNumId w:val="113"/>
  </w:num>
  <w:num w:numId="90">
    <w:abstractNumId w:val="119"/>
  </w:num>
  <w:num w:numId="91">
    <w:abstractNumId w:val="35"/>
  </w:num>
  <w:num w:numId="92">
    <w:abstractNumId w:val="28"/>
  </w:num>
  <w:num w:numId="93">
    <w:abstractNumId w:val="85"/>
  </w:num>
  <w:num w:numId="94">
    <w:abstractNumId w:val="53"/>
  </w:num>
  <w:num w:numId="95">
    <w:abstractNumId w:val="33"/>
  </w:num>
  <w:num w:numId="96">
    <w:abstractNumId w:val="61"/>
  </w:num>
  <w:num w:numId="97">
    <w:abstractNumId w:val="3"/>
  </w:num>
  <w:num w:numId="98">
    <w:abstractNumId w:val="159"/>
  </w:num>
  <w:num w:numId="99">
    <w:abstractNumId w:val="15"/>
  </w:num>
  <w:num w:numId="100">
    <w:abstractNumId w:val="12"/>
  </w:num>
  <w:num w:numId="101">
    <w:abstractNumId w:val="57"/>
  </w:num>
  <w:num w:numId="102">
    <w:abstractNumId w:val="14"/>
  </w:num>
  <w:num w:numId="103">
    <w:abstractNumId w:val="141"/>
  </w:num>
  <w:num w:numId="104">
    <w:abstractNumId w:val="131"/>
  </w:num>
  <w:num w:numId="105">
    <w:abstractNumId w:val="52"/>
  </w:num>
  <w:num w:numId="106">
    <w:abstractNumId w:val="135"/>
  </w:num>
  <w:num w:numId="107">
    <w:abstractNumId w:val="43"/>
  </w:num>
  <w:num w:numId="108">
    <w:abstractNumId w:val="164"/>
  </w:num>
  <w:num w:numId="109">
    <w:abstractNumId w:val="150"/>
  </w:num>
  <w:num w:numId="110">
    <w:abstractNumId w:val="47"/>
  </w:num>
  <w:num w:numId="111">
    <w:abstractNumId w:val="30"/>
  </w:num>
  <w:num w:numId="112">
    <w:abstractNumId w:val="75"/>
  </w:num>
  <w:num w:numId="113">
    <w:abstractNumId w:val="156"/>
  </w:num>
  <w:num w:numId="114">
    <w:abstractNumId w:val="105"/>
  </w:num>
  <w:num w:numId="115">
    <w:abstractNumId w:val="115"/>
  </w:num>
  <w:num w:numId="116">
    <w:abstractNumId w:val="142"/>
  </w:num>
  <w:num w:numId="117">
    <w:abstractNumId w:val="109"/>
  </w:num>
  <w:num w:numId="118">
    <w:abstractNumId w:val="34"/>
  </w:num>
  <w:num w:numId="119">
    <w:abstractNumId w:val="139"/>
  </w:num>
  <w:num w:numId="120">
    <w:abstractNumId w:val="128"/>
  </w:num>
  <w:num w:numId="121">
    <w:abstractNumId w:val="118"/>
  </w:num>
  <w:num w:numId="122">
    <w:abstractNumId w:val="145"/>
  </w:num>
  <w:num w:numId="123">
    <w:abstractNumId w:val="112"/>
  </w:num>
  <w:num w:numId="124">
    <w:abstractNumId w:val="80"/>
  </w:num>
  <w:num w:numId="125">
    <w:abstractNumId w:val="5"/>
  </w:num>
  <w:num w:numId="126">
    <w:abstractNumId w:val="102"/>
  </w:num>
  <w:num w:numId="127">
    <w:abstractNumId w:val="54"/>
  </w:num>
  <w:num w:numId="128">
    <w:abstractNumId w:val="44"/>
  </w:num>
  <w:num w:numId="129">
    <w:abstractNumId w:val="96"/>
  </w:num>
  <w:num w:numId="130">
    <w:abstractNumId w:val="56"/>
  </w:num>
  <w:num w:numId="131">
    <w:abstractNumId w:val="39"/>
  </w:num>
  <w:num w:numId="132">
    <w:abstractNumId w:val="24"/>
  </w:num>
  <w:num w:numId="133">
    <w:abstractNumId w:val="13"/>
  </w:num>
  <w:num w:numId="134">
    <w:abstractNumId w:val="104"/>
  </w:num>
  <w:num w:numId="135">
    <w:abstractNumId w:val="165"/>
  </w:num>
  <w:num w:numId="136">
    <w:abstractNumId w:val="58"/>
  </w:num>
  <w:num w:numId="137">
    <w:abstractNumId w:val="163"/>
  </w:num>
  <w:num w:numId="138">
    <w:abstractNumId w:val="67"/>
  </w:num>
  <w:num w:numId="139">
    <w:abstractNumId w:val="46"/>
  </w:num>
  <w:num w:numId="140">
    <w:abstractNumId w:val="76"/>
  </w:num>
  <w:num w:numId="141">
    <w:abstractNumId w:val="97"/>
  </w:num>
  <w:num w:numId="142">
    <w:abstractNumId w:val="7"/>
  </w:num>
  <w:num w:numId="143">
    <w:abstractNumId w:val="64"/>
  </w:num>
  <w:num w:numId="144">
    <w:abstractNumId w:val="65"/>
  </w:num>
  <w:num w:numId="145">
    <w:abstractNumId w:val="0"/>
  </w:num>
  <w:num w:numId="146">
    <w:abstractNumId w:val="146"/>
  </w:num>
  <w:num w:numId="147">
    <w:abstractNumId w:val="63"/>
  </w:num>
  <w:num w:numId="148">
    <w:abstractNumId w:val="92"/>
  </w:num>
  <w:num w:numId="149">
    <w:abstractNumId w:val="127"/>
  </w:num>
  <w:num w:numId="150">
    <w:abstractNumId w:val="143"/>
  </w:num>
  <w:num w:numId="151">
    <w:abstractNumId w:val="133"/>
  </w:num>
  <w:num w:numId="152">
    <w:abstractNumId w:val="153"/>
  </w:num>
  <w:num w:numId="153">
    <w:abstractNumId w:val="122"/>
  </w:num>
  <w:num w:numId="154">
    <w:abstractNumId w:val="45"/>
  </w:num>
  <w:num w:numId="155">
    <w:abstractNumId w:val="25"/>
  </w:num>
  <w:num w:numId="156">
    <w:abstractNumId w:val="158"/>
  </w:num>
  <w:num w:numId="157">
    <w:abstractNumId w:val="4"/>
  </w:num>
  <w:num w:numId="158">
    <w:abstractNumId w:val="19"/>
  </w:num>
  <w:num w:numId="159">
    <w:abstractNumId w:val="11"/>
  </w:num>
  <w:num w:numId="160">
    <w:abstractNumId w:val="82"/>
  </w:num>
  <w:num w:numId="161">
    <w:abstractNumId w:val="168"/>
  </w:num>
  <w:num w:numId="162">
    <w:abstractNumId w:val="144"/>
  </w:num>
  <w:num w:numId="163">
    <w:abstractNumId w:val="106"/>
  </w:num>
  <w:num w:numId="164">
    <w:abstractNumId w:val="74"/>
  </w:num>
  <w:num w:numId="165">
    <w:abstractNumId w:val="60"/>
  </w:num>
  <w:num w:numId="166">
    <w:abstractNumId w:val="88"/>
  </w:num>
  <w:num w:numId="167">
    <w:abstractNumId w:val="132"/>
  </w:num>
  <w:num w:numId="168">
    <w:abstractNumId w:val="155"/>
  </w:num>
  <w:num w:numId="169">
    <w:abstractNumId w:val="51"/>
  </w:num>
  <w:num w:numId="170">
    <w:abstractNumId w:val="169"/>
  </w:num>
  <w:num w:numId="1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xYzg0OThhNzcwOTE5MTFkNjQzOGM5NDBhNWFiNjcifQ=="/>
  </w:docVars>
  <w:rsids>
    <w:rsidRoot w:val="00172A27"/>
    <w:rsid w:val="00000872"/>
    <w:rsid w:val="00002095"/>
    <w:rsid w:val="00006DEF"/>
    <w:rsid w:val="00026A39"/>
    <w:rsid w:val="000368AC"/>
    <w:rsid w:val="0004486C"/>
    <w:rsid w:val="000600C5"/>
    <w:rsid w:val="00066D56"/>
    <w:rsid w:val="00071969"/>
    <w:rsid w:val="00073D32"/>
    <w:rsid w:val="00074378"/>
    <w:rsid w:val="000952AE"/>
    <w:rsid w:val="000C0C70"/>
    <w:rsid w:val="000C2018"/>
    <w:rsid w:val="000C48A6"/>
    <w:rsid w:val="000E21BC"/>
    <w:rsid w:val="000E5B3C"/>
    <w:rsid w:val="000E60BA"/>
    <w:rsid w:val="00101FC8"/>
    <w:rsid w:val="00121122"/>
    <w:rsid w:val="00131151"/>
    <w:rsid w:val="001439CA"/>
    <w:rsid w:val="00144912"/>
    <w:rsid w:val="00161B3A"/>
    <w:rsid w:val="001754E3"/>
    <w:rsid w:val="00175CCC"/>
    <w:rsid w:val="001A076C"/>
    <w:rsid w:val="001B2BA7"/>
    <w:rsid w:val="001C0F6C"/>
    <w:rsid w:val="001E07B4"/>
    <w:rsid w:val="001E452C"/>
    <w:rsid w:val="001F52CB"/>
    <w:rsid w:val="00246C12"/>
    <w:rsid w:val="00250916"/>
    <w:rsid w:val="00250E3D"/>
    <w:rsid w:val="002867B2"/>
    <w:rsid w:val="00296182"/>
    <w:rsid w:val="002A7A74"/>
    <w:rsid w:val="002A7AED"/>
    <w:rsid w:val="002B2197"/>
    <w:rsid w:val="002B270A"/>
    <w:rsid w:val="002D11CF"/>
    <w:rsid w:val="002E45BD"/>
    <w:rsid w:val="002E5C3D"/>
    <w:rsid w:val="002E767B"/>
    <w:rsid w:val="00304F9C"/>
    <w:rsid w:val="00307C31"/>
    <w:rsid w:val="00310F94"/>
    <w:rsid w:val="00312D48"/>
    <w:rsid w:val="00315BBB"/>
    <w:rsid w:val="00320975"/>
    <w:rsid w:val="00335477"/>
    <w:rsid w:val="00343B2B"/>
    <w:rsid w:val="00350B0C"/>
    <w:rsid w:val="003525A7"/>
    <w:rsid w:val="00367FD2"/>
    <w:rsid w:val="00392ED3"/>
    <w:rsid w:val="003A51A7"/>
    <w:rsid w:val="003B06E0"/>
    <w:rsid w:val="003B76A4"/>
    <w:rsid w:val="003F1113"/>
    <w:rsid w:val="003F541C"/>
    <w:rsid w:val="004070C5"/>
    <w:rsid w:val="00445BDB"/>
    <w:rsid w:val="00452312"/>
    <w:rsid w:val="004571A2"/>
    <w:rsid w:val="0046534D"/>
    <w:rsid w:val="00470898"/>
    <w:rsid w:val="00477039"/>
    <w:rsid w:val="00485E3B"/>
    <w:rsid w:val="004A0AC7"/>
    <w:rsid w:val="004A3DA8"/>
    <w:rsid w:val="004B51AA"/>
    <w:rsid w:val="004B78F6"/>
    <w:rsid w:val="004D6F56"/>
    <w:rsid w:val="004F167A"/>
    <w:rsid w:val="004F39ED"/>
    <w:rsid w:val="00501023"/>
    <w:rsid w:val="00514C12"/>
    <w:rsid w:val="0051580E"/>
    <w:rsid w:val="00526B4B"/>
    <w:rsid w:val="00540161"/>
    <w:rsid w:val="00554E84"/>
    <w:rsid w:val="00585EF4"/>
    <w:rsid w:val="005A083C"/>
    <w:rsid w:val="005A2AFA"/>
    <w:rsid w:val="005A6728"/>
    <w:rsid w:val="005B063B"/>
    <w:rsid w:val="005B71A2"/>
    <w:rsid w:val="005D0025"/>
    <w:rsid w:val="005D1F72"/>
    <w:rsid w:val="005D20ED"/>
    <w:rsid w:val="005D4C9A"/>
    <w:rsid w:val="005D6056"/>
    <w:rsid w:val="005E3623"/>
    <w:rsid w:val="005F0357"/>
    <w:rsid w:val="005F4368"/>
    <w:rsid w:val="0060140F"/>
    <w:rsid w:val="006015FE"/>
    <w:rsid w:val="00610076"/>
    <w:rsid w:val="00610897"/>
    <w:rsid w:val="006115CB"/>
    <w:rsid w:val="00617C47"/>
    <w:rsid w:val="00633092"/>
    <w:rsid w:val="0065181E"/>
    <w:rsid w:val="0067113A"/>
    <w:rsid w:val="00675174"/>
    <w:rsid w:val="00692C01"/>
    <w:rsid w:val="006A2412"/>
    <w:rsid w:val="006B3E1F"/>
    <w:rsid w:val="006D4A5F"/>
    <w:rsid w:val="006D66BD"/>
    <w:rsid w:val="00702508"/>
    <w:rsid w:val="007028DD"/>
    <w:rsid w:val="00703B2E"/>
    <w:rsid w:val="007049A3"/>
    <w:rsid w:val="00706C8D"/>
    <w:rsid w:val="00715B2B"/>
    <w:rsid w:val="00723F94"/>
    <w:rsid w:val="00734068"/>
    <w:rsid w:val="00745715"/>
    <w:rsid w:val="007501C4"/>
    <w:rsid w:val="00762D19"/>
    <w:rsid w:val="00785643"/>
    <w:rsid w:val="007B1082"/>
    <w:rsid w:val="007D7A52"/>
    <w:rsid w:val="007E424B"/>
    <w:rsid w:val="007E712A"/>
    <w:rsid w:val="007F0CE7"/>
    <w:rsid w:val="00800050"/>
    <w:rsid w:val="0080743A"/>
    <w:rsid w:val="008127EC"/>
    <w:rsid w:val="00814F28"/>
    <w:rsid w:val="008203A8"/>
    <w:rsid w:val="00827F74"/>
    <w:rsid w:val="00835532"/>
    <w:rsid w:val="00842ECB"/>
    <w:rsid w:val="00845E8E"/>
    <w:rsid w:val="00846955"/>
    <w:rsid w:val="00851193"/>
    <w:rsid w:val="00855CC6"/>
    <w:rsid w:val="00866081"/>
    <w:rsid w:val="008732AF"/>
    <w:rsid w:val="008743B9"/>
    <w:rsid w:val="00876F59"/>
    <w:rsid w:val="00895C6A"/>
    <w:rsid w:val="00896EC1"/>
    <w:rsid w:val="008A6482"/>
    <w:rsid w:val="008B0E4C"/>
    <w:rsid w:val="008B17E0"/>
    <w:rsid w:val="008C15BB"/>
    <w:rsid w:val="008D62B7"/>
    <w:rsid w:val="008E5DBC"/>
    <w:rsid w:val="008F14C4"/>
    <w:rsid w:val="008F6E35"/>
    <w:rsid w:val="00907510"/>
    <w:rsid w:val="00907B0B"/>
    <w:rsid w:val="00912C0E"/>
    <w:rsid w:val="00917769"/>
    <w:rsid w:val="00924099"/>
    <w:rsid w:val="00926768"/>
    <w:rsid w:val="0094480B"/>
    <w:rsid w:val="00946A9C"/>
    <w:rsid w:val="009546E7"/>
    <w:rsid w:val="009566DC"/>
    <w:rsid w:val="009571D5"/>
    <w:rsid w:val="0096717B"/>
    <w:rsid w:val="00980361"/>
    <w:rsid w:val="009852C7"/>
    <w:rsid w:val="00985CA8"/>
    <w:rsid w:val="00990DDB"/>
    <w:rsid w:val="00993DD7"/>
    <w:rsid w:val="00995734"/>
    <w:rsid w:val="00995888"/>
    <w:rsid w:val="009B2BE4"/>
    <w:rsid w:val="009C5261"/>
    <w:rsid w:val="009D0E84"/>
    <w:rsid w:val="009E3095"/>
    <w:rsid w:val="009F2CF7"/>
    <w:rsid w:val="009F316B"/>
    <w:rsid w:val="009F35EE"/>
    <w:rsid w:val="00A03F1E"/>
    <w:rsid w:val="00A60823"/>
    <w:rsid w:val="00A61BB6"/>
    <w:rsid w:val="00A9021C"/>
    <w:rsid w:val="00A905F0"/>
    <w:rsid w:val="00AC0080"/>
    <w:rsid w:val="00AF66E0"/>
    <w:rsid w:val="00B163C0"/>
    <w:rsid w:val="00B17118"/>
    <w:rsid w:val="00B205AB"/>
    <w:rsid w:val="00B244A2"/>
    <w:rsid w:val="00B42D14"/>
    <w:rsid w:val="00B435DD"/>
    <w:rsid w:val="00B5607B"/>
    <w:rsid w:val="00B561BD"/>
    <w:rsid w:val="00B57E80"/>
    <w:rsid w:val="00B94764"/>
    <w:rsid w:val="00BA7DC1"/>
    <w:rsid w:val="00BD4543"/>
    <w:rsid w:val="00BD6174"/>
    <w:rsid w:val="00BE635F"/>
    <w:rsid w:val="00BF430B"/>
    <w:rsid w:val="00C022B4"/>
    <w:rsid w:val="00C02348"/>
    <w:rsid w:val="00C1192A"/>
    <w:rsid w:val="00C169A5"/>
    <w:rsid w:val="00C24A2F"/>
    <w:rsid w:val="00C31EA1"/>
    <w:rsid w:val="00C50BF8"/>
    <w:rsid w:val="00C741E8"/>
    <w:rsid w:val="00C779C3"/>
    <w:rsid w:val="00C8433C"/>
    <w:rsid w:val="00C90CA5"/>
    <w:rsid w:val="00CB4BE9"/>
    <w:rsid w:val="00CC789A"/>
    <w:rsid w:val="00CD3F36"/>
    <w:rsid w:val="00CE002D"/>
    <w:rsid w:val="00CE300C"/>
    <w:rsid w:val="00CF4D5C"/>
    <w:rsid w:val="00D129EC"/>
    <w:rsid w:val="00D14E6C"/>
    <w:rsid w:val="00D14EBD"/>
    <w:rsid w:val="00D23AAB"/>
    <w:rsid w:val="00D24313"/>
    <w:rsid w:val="00D2638A"/>
    <w:rsid w:val="00D425D7"/>
    <w:rsid w:val="00D441F4"/>
    <w:rsid w:val="00D44900"/>
    <w:rsid w:val="00D46210"/>
    <w:rsid w:val="00D474A2"/>
    <w:rsid w:val="00D56851"/>
    <w:rsid w:val="00D71907"/>
    <w:rsid w:val="00D826BC"/>
    <w:rsid w:val="00D83AC9"/>
    <w:rsid w:val="00D92D82"/>
    <w:rsid w:val="00D9457C"/>
    <w:rsid w:val="00DA3D90"/>
    <w:rsid w:val="00DC211A"/>
    <w:rsid w:val="00DC6CA1"/>
    <w:rsid w:val="00DC7520"/>
    <w:rsid w:val="00DD1B8C"/>
    <w:rsid w:val="00DE2598"/>
    <w:rsid w:val="00DE6AD4"/>
    <w:rsid w:val="00DF1119"/>
    <w:rsid w:val="00E11898"/>
    <w:rsid w:val="00E203B5"/>
    <w:rsid w:val="00E24664"/>
    <w:rsid w:val="00E2709A"/>
    <w:rsid w:val="00E27FD9"/>
    <w:rsid w:val="00E30AF7"/>
    <w:rsid w:val="00E3285D"/>
    <w:rsid w:val="00E65DF8"/>
    <w:rsid w:val="00E72C4D"/>
    <w:rsid w:val="00EA441A"/>
    <w:rsid w:val="00EB0573"/>
    <w:rsid w:val="00EB45C7"/>
    <w:rsid w:val="00EC4D7A"/>
    <w:rsid w:val="00ED3196"/>
    <w:rsid w:val="00ED5C8B"/>
    <w:rsid w:val="00EF67CA"/>
    <w:rsid w:val="00EF6BF5"/>
    <w:rsid w:val="00EF7459"/>
    <w:rsid w:val="00EF7C4B"/>
    <w:rsid w:val="00F01E23"/>
    <w:rsid w:val="00F1484D"/>
    <w:rsid w:val="00F23283"/>
    <w:rsid w:val="00F30E58"/>
    <w:rsid w:val="00F63457"/>
    <w:rsid w:val="00F64DA1"/>
    <w:rsid w:val="00F6593E"/>
    <w:rsid w:val="00F77DA4"/>
    <w:rsid w:val="00F8252D"/>
    <w:rsid w:val="00F941D8"/>
    <w:rsid w:val="00F9659F"/>
    <w:rsid w:val="00FA26E9"/>
    <w:rsid w:val="00FA5654"/>
    <w:rsid w:val="00FA642E"/>
    <w:rsid w:val="00FD2336"/>
    <w:rsid w:val="00FE5BD0"/>
    <w:rsid w:val="010F5B86"/>
    <w:rsid w:val="01366B86"/>
    <w:rsid w:val="02307596"/>
    <w:rsid w:val="06641C13"/>
    <w:rsid w:val="06683779"/>
    <w:rsid w:val="06A70969"/>
    <w:rsid w:val="06BE2FB3"/>
    <w:rsid w:val="085A0BFA"/>
    <w:rsid w:val="08606961"/>
    <w:rsid w:val="088A1551"/>
    <w:rsid w:val="0C7C4A5A"/>
    <w:rsid w:val="11870B6A"/>
    <w:rsid w:val="14546B88"/>
    <w:rsid w:val="14AD13E9"/>
    <w:rsid w:val="14EF6A21"/>
    <w:rsid w:val="19FC4522"/>
    <w:rsid w:val="1D2166E9"/>
    <w:rsid w:val="207A4607"/>
    <w:rsid w:val="22450BE1"/>
    <w:rsid w:val="262C61CB"/>
    <w:rsid w:val="28DF3369"/>
    <w:rsid w:val="29193811"/>
    <w:rsid w:val="2BF11D4B"/>
    <w:rsid w:val="310D2B44"/>
    <w:rsid w:val="383A5574"/>
    <w:rsid w:val="38400073"/>
    <w:rsid w:val="3CB81D04"/>
    <w:rsid w:val="3CDA1DA7"/>
    <w:rsid w:val="3D05356A"/>
    <w:rsid w:val="3F230335"/>
    <w:rsid w:val="3F667036"/>
    <w:rsid w:val="3F8C3FE1"/>
    <w:rsid w:val="3F9B3535"/>
    <w:rsid w:val="415E2013"/>
    <w:rsid w:val="441F34AF"/>
    <w:rsid w:val="445F2C9B"/>
    <w:rsid w:val="44CA4AE7"/>
    <w:rsid w:val="45697E0C"/>
    <w:rsid w:val="4774167D"/>
    <w:rsid w:val="480F7F83"/>
    <w:rsid w:val="487C5A31"/>
    <w:rsid w:val="49441CB3"/>
    <w:rsid w:val="4A8061D0"/>
    <w:rsid w:val="4F9C51C6"/>
    <w:rsid w:val="51FA23A4"/>
    <w:rsid w:val="5442636E"/>
    <w:rsid w:val="595F0DB8"/>
    <w:rsid w:val="597D151F"/>
    <w:rsid w:val="5A68680B"/>
    <w:rsid w:val="5B254321"/>
    <w:rsid w:val="5D6A1882"/>
    <w:rsid w:val="5F5A7234"/>
    <w:rsid w:val="5FD84A8B"/>
    <w:rsid w:val="61B160E2"/>
    <w:rsid w:val="61CF4F25"/>
    <w:rsid w:val="63646A0B"/>
    <w:rsid w:val="6C584C0B"/>
    <w:rsid w:val="6CB11D01"/>
    <w:rsid w:val="6E2A3448"/>
    <w:rsid w:val="6F4B0030"/>
    <w:rsid w:val="70A1076B"/>
    <w:rsid w:val="727126F3"/>
    <w:rsid w:val="729D5E99"/>
    <w:rsid w:val="73AE697A"/>
    <w:rsid w:val="753C537E"/>
    <w:rsid w:val="77550DF4"/>
    <w:rsid w:val="7812094B"/>
    <w:rsid w:val="7B651FBA"/>
    <w:rsid w:val="7C9C4B5C"/>
    <w:rsid w:val="7DE97BE9"/>
    <w:rsid w:val="7F465EFB"/>
    <w:rsid w:val="7F5A38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宋体" w:hAnsi="Times New Roman" w:eastAsia="宋体" w:cs="Times New Roman"/>
      <w:sz w:val="3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iPriority w:val="0"/>
    <w:pPr>
      <w:keepNext/>
      <w:keepLines/>
      <w:spacing w:before="260" w:after="260" w:line="416" w:lineRule="auto"/>
      <w:outlineLvl w:val="2"/>
    </w:pPr>
    <w:rPr>
      <w:b/>
      <w:bCs/>
      <w:sz w:val="32"/>
      <w:szCs w:val="32"/>
    </w:rPr>
  </w:style>
  <w:style w:type="paragraph" w:styleId="5">
    <w:name w:val="heading 4"/>
    <w:basedOn w:val="1"/>
    <w:next w:val="6"/>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numPr>
        <w:ilvl w:val="0"/>
        <w:numId w:val="1"/>
      </w:numPr>
      <w:outlineLvl w:val="6"/>
    </w:pPr>
    <w:rPr>
      <w:bCs/>
    </w:rPr>
  </w:style>
  <w:style w:type="character" w:default="1" w:styleId="25">
    <w:name w:val="Default Paragraph Font"/>
    <w:semiHidden/>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10">
    <w:name w:val="Body Text 3"/>
    <w:basedOn w:val="1"/>
    <w:qFormat/>
    <w:uiPriority w:val="0"/>
    <w:rPr>
      <w:bCs/>
      <w:kern w:val="0"/>
      <w:sz w:val="24"/>
      <w:szCs w:val="20"/>
    </w:rPr>
  </w:style>
  <w:style w:type="paragraph" w:styleId="11">
    <w:name w:val="Body Text"/>
    <w:basedOn w:val="1"/>
    <w:qFormat/>
    <w:uiPriority w:val="0"/>
    <w:pPr>
      <w:spacing w:after="120"/>
    </w:pPr>
    <w:rPr>
      <w:szCs w:val="20"/>
    </w:rPr>
  </w:style>
  <w:style w:type="paragraph" w:styleId="12">
    <w:name w:val="Body Text Indent"/>
    <w:basedOn w:val="1"/>
    <w:qFormat/>
    <w:uiPriority w:val="0"/>
    <w:pPr>
      <w:spacing w:after="120"/>
      <w:ind w:left="420" w:leftChars="200"/>
    </w:pPr>
  </w:style>
  <w:style w:type="paragraph" w:styleId="13">
    <w:name w:val="toc 5"/>
    <w:basedOn w:val="1"/>
    <w:next w:val="1"/>
    <w:qFormat/>
    <w:uiPriority w:val="0"/>
    <w:pPr>
      <w:ind w:left="1680" w:leftChars="800"/>
    </w:pPr>
  </w:style>
  <w:style w:type="paragraph" w:styleId="14">
    <w:name w:val="toc 3"/>
    <w:basedOn w:val="1"/>
    <w:next w:val="1"/>
    <w:semiHidden/>
    <w:qFormat/>
    <w:uiPriority w:val="0"/>
    <w:pPr>
      <w:ind w:left="840" w:leftChars="400"/>
    </w:pPr>
  </w:style>
  <w:style w:type="paragraph" w:styleId="15">
    <w:name w:val="Plain Text"/>
    <w:basedOn w:val="1"/>
    <w:qFormat/>
    <w:uiPriority w:val="0"/>
    <w:rPr>
      <w:rFonts w:ascii="宋体" w:hAnsi="Courier New" w:cs="Courier New"/>
      <w:szCs w:val="21"/>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semiHidden/>
    <w:qFormat/>
    <w:uiPriority w:val="0"/>
    <w:pPr>
      <w:tabs>
        <w:tab w:val="left" w:pos="1050"/>
        <w:tab w:val="right" w:leader="dot" w:pos="8296"/>
      </w:tabs>
    </w:pPr>
    <w:rPr>
      <w:rFonts w:ascii="宋体" w:hAnsi="宋体"/>
      <w:b/>
      <w:sz w:val="28"/>
      <w:szCs w:val="28"/>
    </w:rPr>
  </w:style>
  <w:style w:type="paragraph" w:styleId="19">
    <w:name w:val="toc 4"/>
    <w:basedOn w:val="1"/>
    <w:next w:val="1"/>
    <w:qFormat/>
    <w:uiPriority w:val="0"/>
    <w:pPr>
      <w:ind w:left="1260" w:leftChars="600"/>
    </w:pPr>
  </w:style>
  <w:style w:type="paragraph" w:styleId="20">
    <w:name w:val="toc 2"/>
    <w:basedOn w:val="1"/>
    <w:next w:val="1"/>
    <w:semiHidden/>
    <w:qFormat/>
    <w:uiPriority w:val="0"/>
    <w:pPr>
      <w:ind w:left="420" w:leftChars="200"/>
    </w:pPr>
  </w:style>
  <w:style w:type="paragraph" w:styleId="21">
    <w:name w:val="Body Text 2"/>
    <w:basedOn w:val="1"/>
    <w:qFormat/>
    <w:uiPriority w:val="0"/>
    <w:pPr>
      <w:spacing w:after="120" w:line="480" w:lineRule="auto"/>
    </w:pPr>
  </w:style>
  <w:style w:type="paragraph" w:styleId="22">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bCs/>
    </w:rPr>
  </w:style>
  <w:style w:type="character" w:styleId="27">
    <w:name w:val="page number"/>
    <w:basedOn w:val="25"/>
    <w:qFormat/>
    <w:uiPriority w:val="0"/>
  </w:style>
  <w:style w:type="character" w:styleId="28">
    <w:name w:val="FollowedHyperlink"/>
    <w:basedOn w:val="25"/>
    <w:qFormat/>
    <w:uiPriority w:val="0"/>
    <w:rPr>
      <w:color w:val="333333"/>
      <w:u w:val="none"/>
    </w:rPr>
  </w:style>
  <w:style w:type="character" w:styleId="29">
    <w:name w:val="Emphasis"/>
    <w:basedOn w:val="25"/>
    <w:qFormat/>
    <w:uiPriority w:val="0"/>
  </w:style>
  <w:style w:type="character" w:styleId="30">
    <w:name w:val="HTML Definition"/>
    <w:basedOn w:val="25"/>
    <w:qFormat/>
    <w:uiPriority w:val="0"/>
  </w:style>
  <w:style w:type="character" w:styleId="31">
    <w:name w:val="HTML Variable"/>
    <w:basedOn w:val="25"/>
    <w:qFormat/>
    <w:uiPriority w:val="0"/>
  </w:style>
  <w:style w:type="character" w:styleId="32">
    <w:name w:val="Hyperlink"/>
    <w:basedOn w:val="25"/>
    <w:qFormat/>
    <w:uiPriority w:val="0"/>
    <w:rPr>
      <w:color w:val="0000FF"/>
      <w:u w:val="single"/>
    </w:rPr>
  </w:style>
  <w:style w:type="character" w:styleId="33">
    <w:name w:val="HTML Code"/>
    <w:basedOn w:val="25"/>
    <w:qFormat/>
    <w:uiPriority w:val="0"/>
    <w:rPr>
      <w:rFonts w:ascii="Courier New" w:hAnsi="Courier New" w:eastAsia="Courier New" w:cs="Courier New"/>
      <w:sz w:val="20"/>
    </w:rPr>
  </w:style>
  <w:style w:type="character" w:styleId="34">
    <w:name w:val="HTML Cite"/>
    <w:basedOn w:val="25"/>
    <w:qFormat/>
    <w:uiPriority w:val="0"/>
  </w:style>
  <w:style w:type="character" w:styleId="35">
    <w:name w:val="HTML Keyboard"/>
    <w:basedOn w:val="25"/>
    <w:qFormat/>
    <w:uiPriority w:val="0"/>
    <w:rPr>
      <w:rFonts w:hint="default" w:ascii="Courier New" w:hAnsi="Courier New" w:eastAsia="Courier New" w:cs="Courier New"/>
      <w:sz w:val="20"/>
    </w:rPr>
  </w:style>
  <w:style w:type="character" w:styleId="36">
    <w:name w:val="HTML Sample"/>
    <w:basedOn w:val="25"/>
    <w:qFormat/>
    <w:uiPriority w:val="0"/>
    <w:rPr>
      <w:rFonts w:hint="default" w:ascii="Courier New" w:hAnsi="Courier New" w:eastAsia="Courier New" w:cs="Courier New"/>
    </w:rPr>
  </w:style>
  <w:style w:type="character" w:customStyle="1" w:styleId="37">
    <w:name w:val="h21"/>
    <w:basedOn w:val="25"/>
    <w:qFormat/>
    <w:uiPriority w:val="0"/>
    <w:rPr>
      <w:spacing w:val="200"/>
      <w:sz w:val="19"/>
      <w:szCs w:val="19"/>
    </w:rPr>
  </w:style>
  <w:style w:type="paragraph" w:customStyle="1" w:styleId="38">
    <w:name w:val="Normal"/>
    <w:qFormat/>
    <w:uiPriority w:val="0"/>
    <w:pPr>
      <w:widowControl w:val="0"/>
      <w:adjustRightInd w:val="0"/>
      <w:spacing w:line="0" w:lineRule="atLeast"/>
      <w:textAlignment w:val="baseline"/>
    </w:pPr>
    <w:rPr>
      <w:rFonts w:ascii="宋体" w:hAnsi="Times New Roman" w:eastAsia="宋体" w:cs="Times New Roman"/>
      <w:sz w:val="34"/>
      <w:lang w:val="en-US" w:eastAsia="zh-CN" w:bidi="ar-SA"/>
    </w:rPr>
  </w:style>
  <w:style w:type="character" w:customStyle="1" w:styleId="39">
    <w:name w:val="tab2"/>
    <w:basedOn w:val="25"/>
    <w:qFormat/>
    <w:uiPriority w:val="0"/>
    <w:rPr>
      <w:color w:val="A4BCD6"/>
    </w:rPr>
  </w:style>
  <w:style w:type="character" w:customStyle="1" w:styleId="40">
    <w:name w:val="tab3"/>
    <w:basedOn w:val="25"/>
    <w:qFormat/>
    <w:uiPriority w:val="0"/>
    <w:rPr>
      <w:color w:val="A4BCD6"/>
    </w:rPr>
  </w:style>
  <w:style w:type="table" w:customStyle="1" w:styleId="41">
    <w:name w:val="Table Normal"/>
    <w:semiHidden/>
    <w:unhideWhenUsed/>
    <w:qFormat/>
    <w:uiPriority w:val="0"/>
    <w:tblPr>
      <w:tblCellMar>
        <w:top w:w="0" w:type="dxa"/>
        <w:left w:w="0" w:type="dxa"/>
        <w:bottom w:w="0" w:type="dxa"/>
        <w:right w:w="0" w:type="dxa"/>
      </w:tblCellMar>
    </w:tblPr>
  </w:style>
  <w:style w:type="paragraph" w:customStyle="1" w:styleId="42">
    <w:name w:val="正文2"/>
    <w:basedOn w:val="1"/>
    <w:qFormat/>
    <w:uiPriority w:val="0"/>
    <w:pPr>
      <w:spacing w:line="360" w:lineRule="auto"/>
      <w:ind w:firstLine="200" w:firstLineChars="200"/>
      <w:jc w:val="both"/>
    </w:pPr>
    <w:rPr>
      <w:sz w:val="24"/>
      <w:lang w:eastAsia="zh-CN"/>
    </w:rPr>
  </w:style>
  <w:style w:type="character" w:customStyle="1" w:styleId="43">
    <w:name w:val="Book Title"/>
    <w:basedOn w:val="25"/>
    <w:qFormat/>
    <w:uiPriority w:val="99"/>
    <w:rPr>
      <w:b/>
      <w:bCs/>
      <w:smallCaps/>
      <w:spacing w:val="5"/>
    </w:rPr>
  </w:style>
  <w:style w:type="paragraph" w:customStyle="1" w:styleId="44">
    <w:name w:val="正文编号1"/>
    <w:basedOn w:val="1"/>
    <w:qFormat/>
    <w:uiPriority w:val="0"/>
    <w:pPr>
      <w:tabs>
        <w:tab w:val="left" w:leader="dot" w:pos="1701"/>
        <w:tab w:val="left" w:pos="9072"/>
      </w:tabs>
      <w:adjustRightInd w:val="0"/>
      <w:snapToGrid w:val="0"/>
      <w:spacing w:before="120" w:beforeLines="0" w:after="120" w:afterLines="0"/>
      <w:ind w:left="2342" w:hanging="471"/>
    </w:pPr>
    <w:rPr>
      <w:kern w:val="21"/>
    </w:rPr>
  </w:style>
  <w:style w:type="paragraph" w:customStyle="1" w:styleId="45">
    <w:name w:val=" Char"/>
    <w:basedOn w:val="1"/>
    <w:qFormat/>
    <w:uiPriority w:val="0"/>
    <w:pPr>
      <w:tabs>
        <w:tab w:val="left" w:pos="4665"/>
        <w:tab w:val="left" w:pos="8970"/>
      </w:tabs>
      <w:spacing w:line="240" w:lineRule="auto"/>
      <w:ind w:firstLine="400"/>
    </w:pPr>
    <w:rPr>
      <w:rFonts w:ascii="Tahoma" w:hAnsi="Tahoma"/>
      <w:sz w:val="24"/>
    </w:rPr>
  </w:style>
  <w:style w:type="paragraph" w:customStyle="1" w:styleId="46">
    <w:name w:val="WPSOffice手动目录 1"/>
    <w:qFormat/>
    <w:uiPriority w:val="0"/>
    <w:pPr>
      <w:ind w:leftChars="0"/>
    </w:pPr>
    <w:rPr>
      <w:rFonts w:ascii="Times New Roman" w:hAnsi="Times New Roman" w:eastAsia="宋体" w:cs="Times New Roman"/>
      <w:sz w:val="20"/>
      <w:szCs w:val="20"/>
    </w:rPr>
  </w:style>
  <w:style w:type="paragraph" w:customStyle="1" w:styleId="47">
    <w:name w:val="WPSOffice手动目录 2"/>
    <w:qFormat/>
    <w:uiPriority w:val="0"/>
    <w:pPr>
      <w:ind w:leftChars="200"/>
    </w:pPr>
    <w:rPr>
      <w:rFonts w:ascii="Times New Roman" w:hAnsi="Times New Roman" w:eastAsia="宋体" w:cs="Times New Roman"/>
      <w:sz w:val="20"/>
      <w:szCs w:val="20"/>
    </w:rPr>
  </w:style>
  <w:style w:type="paragraph" w:customStyle="1" w:styleId="48">
    <w:name w:val="WPSOffice手动目录 3"/>
    <w:qFormat/>
    <w:uiPriority w:val="0"/>
    <w:pPr>
      <w:ind w:leftChars="400"/>
    </w:pPr>
    <w:rPr>
      <w:rFonts w:ascii="Times New Roman" w:hAnsi="Times New Roman" w:eastAsia="宋体" w:cs="Times New Roman"/>
      <w:sz w:val="20"/>
      <w:szCs w:val="20"/>
    </w:rPr>
  </w:style>
  <w:style w:type="paragraph" w:customStyle="1" w:styleId="49">
    <w:name w:val="paragraph1"/>
    <w:basedOn w:val="1"/>
    <w:qFormat/>
    <w:uiPriority w:val="0"/>
    <w:pPr>
      <w:spacing w:after="93" w:afterLines="30" w:line="360" w:lineRule="auto"/>
      <w:ind w:firstLine="420" w:firstLineChars="200"/>
    </w:pPr>
    <w:rPr>
      <w:rFonts w:ascii="Times New Roman" w:hAnsi="Times New Roman" w:eastAsia="楷体_GB2312" w:cs="Times New Roman"/>
      <w:sz w:val="24"/>
      <w:szCs w:val="20"/>
    </w:rPr>
  </w:style>
  <w:style w:type="character" w:customStyle="1" w:styleId="50">
    <w:name w:val="font21"/>
    <w:basedOn w:val="25"/>
    <w:qFormat/>
    <w:uiPriority w:val="0"/>
    <w:rPr>
      <w:rFonts w:hint="eastAsia" w:ascii="宋体" w:hAnsi="宋体" w:eastAsia="宋体" w:cs="宋体"/>
      <w:color w:val="000000"/>
      <w:sz w:val="13"/>
      <w:szCs w:val="13"/>
      <w:u w:val="none"/>
    </w:rPr>
  </w:style>
  <w:style w:type="character" w:customStyle="1" w:styleId="51">
    <w:name w:val="font31"/>
    <w:basedOn w:val="25"/>
    <w:qFormat/>
    <w:uiPriority w:val="0"/>
    <w:rPr>
      <w:rFonts w:hint="eastAsia" w:ascii="宋体" w:hAnsi="宋体" w:eastAsia="宋体" w:cs="宋体"/>
      <w:color w:val="000000"/>
      <w:sz w:val="7"/>
      <w:szCs w:val="7"/>
      <w:u w:val="none"/>
    </w:rPr>
  </w:style>
  <w:style w:type="character" w:customStyle="1" w:styleId="52">
    <w:name w:val="font51"/>
    <w:basedOn w:val="25"/>
    <w:qFormat/>
    <w:uiPriority w:val="0"/>
    <w:rPr>
      <w:rFonts w:hint="eastAsia" w:ascii="宋体" w:hAnsi="宋体" w:eastAsia="宋体" w:cs="宋体"/>
      <w:color w:val="333333"/>
      <w:sz w:val="8"/>
      <w:szCs w:val="8"/>
      <w:u w:val="none"/>
    </w:rPr>
  </w:style>
  <w:style w:type="character" w:customStyle="1" w:styleId="53">
    <w:name w:val="font11"/>
    <w:basedOn w:val="25"/>
    <w:qFormat/>
    <w:uiPriority w:val="0"/>
    <w:rPr>
      <w:rFonts w:hint="eastAsia" w:ascii="宋体" w:hAnsi="宋体" w:eastAsia="宋体" w:cs="宋体"/>
      <w:color w:val="000000"/>
      <w:sz w:val="8"/>
      <w:szCs w:val="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wmf"/><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jpeg"/><Relationship Id="rId21" Type="http://schemas.openxmlformats.org/officeDocument/2006/relationships/image" Target="media/image17.wmf"/><Relationship Id="rId20" Type="http://schemas.openxmlformats.org/officeDocument/2006/relationships/image" Target="media/image16.wmf"/><Relationship Id="rId2" Type="http://schemas.openxmlformats.org/officeDocument/2006/relationships/settings" Target="settings.xml"/><Relationship Id="rId19" Type="http://schemas.openxmlformats.org/officeDocument/2006/relationships/image" Target="media/image15.wmf"/><Relationship Id="rId18" Type="http://schemas.openxmlformats.org/officeDocument/2006/relationships/image" Target="media/image14.wmf"/><Relationship Id="rId17" Type="http://schemas.openxmlformats.org/officeDocument/2006/relationships/image" Target="media/image13.wmf"/><Relationship Id="rId16" Type="http://schemas.openxmlformats.org/officeDocument/2006/relationships/image" Target="media/image12.png"/><Relationship Id="rId15" Type="http://schemas.openxmlformats.org/officeDocument/2006/relationships/image" Target="media/image11.wmf"/><Relationship Id="rId14" Type="http://schemas.openxmlformats.org/officeDocument/2006/relationships/image" Target="media/image10.wmf"/><Relationship Id="rId13" Type="http://schemas.openxmlformats.org/officeDocument/2006/relationships/image" Target="media/image9.wmf"/><Relationship Id="rId12" Type="http://schemas.openxmlformats.org/officeDocument/2006/relationships/image" Target="media/image8.wmf"/><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163"/>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www.ftpdown.com</Company>
  <Pages>136</Pages>
  <Words>71841</Words>
  <Characters>79168</Characters>
  <Lines>406</Lines>
  <Paragraphs>114</Paragraphs>
  <TotalTime>6</TotalTime>
  <ScaleCrop>false</ScaleCrop>
  <LinksUpToDate>false</LinksUpToDate>
  <CharactersWithSpaces>80139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2005-04-09T09:55:00Z</dcterms:created>
  <dc:creator>FtpDown</dc:creator>
  <cp:lastModifiedBy>西北妇幼CSSD</cp:lastModifiedBy>
  <cp:lastPrinted>2005-04-11T09:18:00Z</cp:lastPrinted>
  <dcterms:modified xsi:type="dcterms:W3CDTF">2022-08-26T13:32:51Z</dcterms:modified>
  <dc:title>目录</dc:title>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E570EA244E2F4533A21EE8E80204619A</vt:lpwstr>
  </property>
</Properties>
</file>